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2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8552A">
        <w:trPr>
          <w:tblCellSpacing w:w="60" w:type="dxa"/>
        </w:trPr>
        <w:tc>
          <w:tcPr>
            <w:tcW w:w="1200" w:type="pct"/>
            <w:shd w:val="clear" w:color="auto" w:fill="E7F0F9"/>
          </w:tcPr>
          <w:p w:rsidR="0008552A" w:rsidRDefault="000F7018">
            <w:pPr>
              <w:spacing w:after="0" w:line="240" w:lineRule="auto"/>
            </w:pPr>
            <w:r>
              <w:rPr>
                <w:b/>
              </w:rPr>
              <w:t>RKP broj</w:t>
            </w:r>
          </w:p>
        </w:tc>
        <w:tc>
          <w:tcPr>
            <w:tcW w:w="0" w:type="auto"/>
            <w:shd w:val="clear" w:color="auto" w:fill="E7F0F9"/>
          </w:tcPr>
          <w:p w:rsidR="0008552A" w:rsidRDefault="000F7018">
            <w:pPr>
              <w:spacing w:after="0" w:line="240" w:lineRule="auto"/>
            </w:pPr>
            <w:r>
              <w:t>18311</w:t>
            </w:r>
          </w:p>
        </w:tc>
      </w:tr>
      <w:tr w:rsidR="0008552A">
        <w:trPr>
          <w:tblCellSpacing w:w="60" w:type="dxa"/>
        </w:trPr>
        <w:tc>
          <w:tcPr>
            <w:tcW w:w="1200" w:type="pct"/>
            <w:shd w:val="clear" w:color="auto" w:fill="E7F0F9"/>
          </w:tcPr>
          <w:p w:rsidR="0008552A" w:rsidRDefault="000F7018">
            <w:pPr>
              <w:spacing w:after="0" w:line="240" w:lineRule="auto"/>
            </w:pPr>
            <w:r>
              <w:rPr>
                <w:b/>
              </w:rPr>
              <w:t>Naziv obveznika</w:t>
            </w:r>
          </w:p>
        </w:tc>
        <w:tc>
          <w:tcPr>
            <w:tcW w:w="0" w:type="auto"/>
            <w:shd w:val="clear" w:color="auto" w:fill="E7F0F9"/>
          </w:tcPr>
          <w:p w:rsidR="0008552A" w:rsidRDefault="000F7018">
            <w:pPr>
              <w:spacing w:after="0" w:line="240" w:lineRule="auto"/>
            </w:pPr>
            <w:r>
              <w:t>Zdravstvena škola</w:t>
            </w:r>
          </w:p>
        </w:tc>
      </w:tr>
      <w:tr w:rsidR="0008552A">
        <w:trPr>
          <w:tblCellSpacing w:w="60" w:type="dxa"/>
        </w:trPr>
        <w:tc>
          <w:tcPr>
            <w:tcW w:w="1200" w:type="pct"/>
            <w:shd w:val="clear" w:color="auto" w:fill="E7F0F9"/>
          </w:tcPr>
          <w:p w:rsidR="0008552A" w:rsidRDefault="000F7018">
            <w:pPr>
              <w:spacing w:after="0" w:line="240" w:lineRule="auto"/>
            </w:pPr>
            <w:r>
              <w:rPr>
                <w:b/>
              </w:rPr>
              <w:t>Razina</w:t>
            </w:r>
          </w:p>
        </w:tc>
        <w:tc>
          <w:tcPr>
            <w:tcW w:w="0" w:type="auto"/>
            <w:shd w:val="clear" w:color="auto" w:fill="E7F0F9"/>
          </w:tcPr>
          <w:p w:rsidR="0008552A" w:rsidRDefault="000F7018">
            <w:pPr>
              <w:spacing w:after="0" w:line="240" w:lineRule="auto"/>
            </w:pPr>
            <w:r>
              <w:t>31</w:t>
            </w:r>
          </w:p>
        </w:tc>
      </w:tr>
    </w:tbl>
    <w:p w:rsidR="0008552A" w:rsidRDefault="000F7018">
      <w:r>
        <w:br/>
      </w:r>
    </w:p>
    <w:p w:rsidR="0008552A" w:rsidRDefault="000F7018">
      <w:pPr>
        <w:spacing w:line="240" w:lineRule="auto"/>
        <w:jc w:val="center"/>
      </w:pPr>
      <w:r>
        <w:rPr>
          <w:b/>
          <w:sz w:val="28"/>
        </w:rPr>
        <w:t>BILJEŠKE UZ FINANCIJSKE IZVJEŠTAJE</w:t>
      </w:r>
    </w:p>
    <w:p w:rsidR="0008552A" w:rsidRDefault="000F7018">
      <w:pPr>
        <w:spacing w:line="240" w:lineRule="auto"/>
        <w:jc w:val="center"/>
      </w:pPr>
      <w:r>
        <w:rPr>
          <w:b/>
          <w:sz w:val="28"/>
        </w:rPr>
        <w:t>ZA RAZDOBLJE</w:t>
      </w:r>
    </w:p>
    <w:p w:rsidR="0008552A" w:rsidRDefault="000F7018">
      <w:pPr>
        <w:spacing w:line="240" w:lineRule="auto"/>
        <w:jc w:val="center"/>
      </w:pPr>
      <w:r>
        <w:rPr>
          <w:b/>
          <w:sz w:val="28"/>
        </w:rPr>
        <w:t>I - XII 2025.</w:t>
      </w:r>
    </w:p>
    <w:p w:rsidR="0008552A" w:rsidRDefault="0008552A"/>
    <w:p w:rsidR="0008552A" w:rsidRDefault="000F7018">
      <w:pPr>
        <w:keepNext/>
        <w:spacing w:line="240" w:lineRule="auto"/>
        <w:jc w:val="center"/>
      </w:pPr>
      <w:r>
        <w:rPr>
          <w:b/>
          <w:sz w:val="28"/>
        </w:rPr>
        <w:t>Izvještaj o prihodima i rashodima, primicima i izdacima</w:t>
      </w:r>
    </w:p>
    <w:p w:rsidR="0008552A" w:rsidRDefault="000F7018">
      <w:pPr>
        <w:keepNext/>
        <w:spacing w:line="240" w:lineRule="auto"/>
        <w:jc w:val="center"/>
      </w:pPr>
      <w:r>
        <w:rPr>
          <w:sz w:val="28"/>
        </w:rPr>
        <w:t>Bilješka 1.</w:t>
      </w:r>
    </w:p>
    <w:tbl>
      <w:tblPr>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w:t>
            </w:r>
          </w:p>
        </w:tc>
        <w:tc>
          <w:tcPr>
            <w:tcW w:w="3180" w:type="dxa"/>
            <w:tcMar>
              <w:top w:w="0" w:type="dxa"/>
              <w:bottom w:w="0" w:type="dxa"/>
            </w:tcMar>
            <w:vAlign w:val="center"/>
          </w:tcPr>
          <w:p w:rsidR="0008552A" w:rsidRDefault="000F7018">
            <w:pPr>
              <w:keepNext/>
              <w:keepLines/>
              <w:spacing w:after="0" w:line="240" w:lineRule="auto"/>
            </w:pPr>
            <w:r>
              <w:rPr>
                <w:sz w:val="18"/>
              </w:rPr>
              <w:t>PRIHODI POSLOVANJA (šifre 61+62+63+64+65+66+67+68)</w:t>
            </w:r>
          </w:p>
        </w:tc>
        <w:tc>
          <w:tcPr>
            <w:tcW w:w="700" w:type="dxa"/>
            <w:tcMar>
              <w:top w:w="0" w:type="dxa"/>
              <w:bottom w:w="0" w:type="dxa"/>
            </w:tcMar>
            <w:vAlign w:val="center"/>
          </w:tcPr>
          <w:p w:rsidR="0008552A" w:rsidRDefault="000F7018">
            <w:pPr>
              <w:keepNext/>
              <w:keepLines/>
              <w:spacing w:after="0" w:line="240" w:lineRule="auto"/>
            </w:pPr>
            <w:r>
              <w:rPr>
                <w:sz w:val="18"/>
              </w:rPr>
              <w:t>6</w:t>
            </w:r>
          </w:p>
        </w:tc>
        <w:tc>
          <w:tcPr>
            <w:tcW w:w="1860" w:type="dxa"/>
            <w:tcMar>
              <w:top w:w="0" w:type="dxa"/>
              <w:bottom w:w="0" w:type="dxa"/>
            </w:tcMar>
            <w:vAlign w:val="center"/>
          </w:tcPr>
          <w:p w:rsidR="0008552A" w:rsidRDefault="000F7018">
            <w:pPr>
              <w:keepNext/>
              <w:keepLines/>
              <w:spacing w:after="0" w:line="240" w:lineRule="auto"/>
              <w:jc w:val="right"/>
            </w:pPr>
            <w:r>
              <w:rPr>
                <w:sz w:val="18"/>
              </w:rPr>
              <w:t>3.230.334,41</w:t>
            </w:r>
          </w:p>
        </w:tc>
        <w:tc>
          <w:tcPr>
            <w:tcW w:w="1860" w:type="dxa"/>
            <w:tcMar>
              <w:top w:w="0" w:type="dxa"/>
              <w:bottom w:w="0" w:type="dxa"/>
            </w:tcMar>
            <w:vAlign w:val="center"/>
          </w:tcPr>
          <w:p w:rsidR="0008552A" w:rsidRDefault="000F7018">
            <w:pPr>
              <w:keepNext/>
              <w:keepLines/>
              <w:spacing w:after="0" w:line="240" w:lineRule="auto"/>
              <w:jc w:val="right"/>
            </w:pPr>
            <w:r>
              <w:rPr>
                <w:sz w:val="18"/>
              </w:rPr>
              <w:t>4.187.730,69</w:t>
            </w:r>
          </w:p>
        </w:tc>
        <w:tc>
          <w:tcPr>
            <w:tcW w:w="700" w:type="dxa"/>
            <w:tcMar>
              <w:top w:w="0" w:type="dxa"/>
              <w:bottom w:w="0" w:type="dxa"/>
            </w:tcMar>
            <w:vAlign w:val="center"/>
          </w:tcPr>
          <w:p w:rsidR="0008552A" w:rsidRDefault="000F7018">
            <w:pPr>
              <w:keepNext/>
              <w:keepLines/>
              <w:spacing w:after="0" w:line="240" w:lineRule="auto"/>
              <w:jc w:val="right"/>
            </w:pPr>
            <w:r>
              <w:rPr>
                <w:sz w:val="18"/>
              </w:rPr>
              <w:t>129,6</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w:t>
            </w:r>
          </w:p>
        </w:tc>
        <w:tc>
          <w:tcPr>
            <w:tcW w:w="3180" w:type="dxa"/>
            <w:tcMar>
              <w:top w:w="0" w:type="dxa"/>
              <w:bottom w:w="0" w:type="dxa"/>
            </w:tcMar>
            <w:vAlign w:val="center"/>
          </w:tcPr>
          <w:p w:rsidR="0008552A" w:rsidRDefault="000F7018">
            <w:pPr>
              <w:keepNext/>
              <w:keepLines/>
              <w:spacing w:after="0" w:line="240" w:lineRule="auto"/>
            </w:pPr>
            <w:r>
              <w:rPr>
                <w:sz w:val="18"/>
              </w:rPr>
              <w:t>RASHODI POSLOVANJA (šifre 31+32+34+35+36+37+38)</w:t>
            </w:r>
          </w:p>
        </w:tc>
        <w:tc>
          <w:tcPr>
            <w:tcW w:w="700" w:type="dxa"/>
            <w:tcMar>
              <w:top w:w="0" w:type="dxa"/>
              <w:bottom w:w="0" w:type="dxa"/>
            </w:tcMar>
            <w:vAlign w:val="center"/>
          </w:tcPr>
          <w:p w:rsidR="0008552A" w:rsidRDefault="000F7018">
            <w:pPr>
              <w:keepNext/>
              <w:keepLines/>
              <w:spacing w:after="0" w:line="240" w:lineRule="auto"/>
            </w:pPr>
            <w:r>
              <w:rPr>
                <w:sz w:val="18"/>
              </w:rPr>
              <w:t>3</w:t>
            </w:r>
          </w:p>
        </w:tc>
        <w:tc>
          <w:tcPr>
            <w:tcW w:w="1860" w:type="dxa"/>
            <w:tcMar>
              <w:top w:w="0" w:type="dxa"/>
              <w:bottom w:w="0" w:type="dxa"/>
            </w:tcMar>
            <w:vAlign w:val="center"/>
          </w:tcPr>
          <w:p w:rsidR="0008552A" w:rsidRDefault="000F7018">
            <w:pPr>
              <w:keepNext/>
              <w:keepLines/>
              <w:spacing w:after="0" w:line="240" w:lineRule="auto"/>
              <w:jc w:val="right"/>
            </w:pPr>
            <w:r>
              <w:rPr>
                <w:sz w:val="18"/>
              </w:rPr>
              <w:t>3.189.791,65</w:t>
            </w:r>
          </w:p>
        </w:tc>
        <w:tc>
          <w:tcPr>
            <w:tcW w:w="1860" w:type="dxa"/>
            <w:tcMar>
              <w:top w:w="0" w:type="dxa"/>
              <w:bottom w:w="0" w:type="dxa"/>
            </w:tcMar>
            <w:vAlign w:val="center"/>
          </w:tcPr>
          <w:p w:rsidR="0008552A" w:rsidRDefault="000F7018">
            <w:pPr>
              <w:keepNext/>
              <w:keepLines/>
              <w:spacing w:after="0" w:line="240" w:lineRule="auto"/>
              <w:jc w:val="right"/>
            </w:pPr>
            <w:r>
              <w:rPr>
                <w:sz w:val="18"/>
              </w:rPr>
              <w:t>4.046.478,55</w:t>
            </w:r>
          </w:p>
        </w:tc>
        <w:tc>
          <w:tcPr>
            <w:tcW w:w="700" w:type="dxa"/>
            <w:tcMar>
              <w:top w:w="0" w:type="dxa"/>
              <w:bottom w:w="0" w:type="dxa"/>
            </w:tcMar>
            <w:vAlign w:val="center"/>
          </w:tcPr>
          <w:p w:rsidR="0008552A" w:rsidRDefault="000F7018">
            <w:pPr>
              <w:keepNext/>
              <w:keepLines/>
              <w:spacing w:after="0" w:line="240" w:lineRule="auto"/>
              <w:jc w:val="right"/>
            </w:pPr>
            <w:r>
              <w:rPr>
                <w:sz w:val="18"/>
              </w:rPr>
              <w:t>126,9</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b/>
                <w:sz w:val="18"/>
              </w:rPr>
              <w:t>VIŠAK PRIHODA POSLOVANJA (šifre 6-Z005)</w:t>
            </w:r>
          </w:p>
        </w:tc>
        <w:tc>
          <w:tcPr>
            <w:tcW w:w="700" w:type="dxa"/>
            <w:tcMar>
              <w:top w:w="0" w:type="dxa"/>
              <w:bottom w:w="0" w:type="dxa"/>
            </w:tcMar>
            <w:vAlign w:val="center"/>
          </w:tcPr>
          <w:p w:rsidR="0008552A" w:rsidRDefault="000F7018">
            <w:pPr>
              <w:keepNext/>
              <w:keepLines/>
              <w:spacing w:after="0" w:line="240" w:lineRule="auto"/>
            </w:pPr>
            <w:r>
              <w:rPr>
                <w:b/>
                <w:sz w:val="18"/>
              </w:rPr>
              <w:t>X001</w:t>
            </w:r>
          </w:p>
        </w:tc>
        <w:tc>
          <w:tcPr>
            <w:tcW w:w="1860" w:type="dxa"/>
            <w:tcMar>
              <w:top w:w="0" w:type="dxa"/>
              <w:bottom w:w="0" w:type="dxa"/>
            </w:tcMar>
            <w:vAlign w:val="center"/>
          </w:tcPr>
          <w:p w:rsidR="0008552A" w:rsidRDefault="000F7018">
            <w:pPr>
              <w:keepNext/>
              <w:keepLines/>
              <w:spacing w:after="0" w:line="240" w:lineRule="auto"/>
              <w:jc w:val="right"/>
            </w:pPr>
            <w:r>
              <w:rPr>
                <w:b/>
                <w:sz w:val="18"/>
              </w:rPr>
              <w:t>40.542,76</w:t>
            </w:r>
          </w:p>
        </w:tc>
        <w:tc>
          <w:tcPr>
            <w:tcW w:w="1860" w:type="dxa"/>
            <w:tcMar>
              <w:top w:w="0" w:type="dxa"/>
              <w:bottom w:w="0" w:type="dxa"/>
            </w:tcMar>
            <w:vAlign w:val="center"/>
          </w:tcPr>
          <w:p w:rsidR="0008552A" w:rsidRDefault="000F7018">
            <w:pPr>
              <w:keepNext/>
              <w:keepLines/>
              <w:spacing w:after="0" w:line="240" w:lineRule="auto"/>
              <w:jc w:val="right"/>
            </w:pPr>
            <w:r>
              <w:rPr>
                <w:b/>
                <w:sz w:val="18"/>
              </w:rPr>
              <w:t>141.252,14</w:t>
            </w:r>
          </w:p>
        </w:tc>
        <w:tc>
          <w:tcPr>
            <w:tcW w:w="700" w:type="dxa"/>
            <w:tcMar>
              <w:top w:w="0" w:type="dxa"/>
              <w:bottom w:w="0" w:type="dxa"/>
            </w:tcMar>
            <w:vAlign w:val="center"/>
          </w:tcPr>
          <w:p w:rsidR="0008552A" w:rsidRDefault="000F7018">
            <w:pPr>
              <w:keepNext/>
              <w:keepLines/>
              <w:spacing w:after="0" w:line="240" w:lineRule="auto"/>
              <w:jc w:val="right"/>
            </w:pPr>
            <w:r>
              <w:rPr>
                <w:b/>
                <w:sz w:val="18"/>
              </w:rPr>
              <w:t>348,4</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7</w:t>
            </w:r>
          </w:p>
        </w:tc>
        <w:tc>
          <w:tcPr>
            <w:tcW w:w="3180" w:type="dxa"/>
            <w:tcMar>
              <w:top w:w="0" w:type="dxa"/>
              <w:bottom w:w="0" w:type="dxa"/>
            </w:tcMar>
            <w:vAlign w:val="center"/>
          </w:tcPr>
          <w:p w:rsidR="0008552A" w:rsidRDefault="000F701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8552A" w:rsidRDefault="000F7018">
            <w:pPr>
              <w:keepNext/>
              <w:keepLines/>
              <w:spacing w:after="0" w:line="240" w:lineRule="auto"/>
            </w:pPr>
            <w:r>
              <w:rPr>
                <w:sz w:val="18"/>
              </w:rPr>
              <w:t>7</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700" w:type="dxa"/>
            <w:tcMar>
              <w:top w:w="0" w:type="dxa"/>
              <w:bottom w:w="0" w:type="dxa"/>
            </w:tcMar>
            <w:vAlign w:val="center"/>
          </w:tcPr>
          <w:p w:rsidR="0008552A" w:rsidRDefault="000F7018">
            <w:pPr>
              <w:keepNext/>
              <w:keepLines/>
              <w:spacing w:after="0" w:line="240" w:lineRule="auto"/>
              <w:jc w:val="right"/>
            </w:pPr>
            <w:r>
              <w:rPr>
                <w:sz w:val="18"/>
              </w:rPr>
              <w:t>-</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4</w:t>
            </w:r>
          </w:p>
        </w:tc>
        <w:tc>
          <w:tcPr>
            <w:tcW w:w="3180" w:type="dxa"/>
            <w:tcMar>
              <w:top w:w="0" w:type="dxa"/>
              <w:bottom w:w="0" w:type="dxa"/>
            </w:tcMar>
            <w:vAlign w:val="center"/>
          </w:tcPr>
          <w:p w:rsidR="0008552A" w:rsidRDefault="000F701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8552A" w:rsidRDefault="000F7018">
            <w:pPr>
              <w:keepNext/>
              <w:keepLines/>
              <w:spacing w:after="0" w:line="240" w:lineRule="auto"/>
            </w:pPr>
            <w:r>
              <w:rPr>
                <w:sz w:val="18"/>
              </w:rPr>
              <w:t>4</w:t>
            </w:r>
          </w:p>
        </w:tc>
        <w:tc>
          <w:tcPr>
            <w:tcW w:w="1860" w:type="dxa"/>
            <w:tcMar>
              <w:top w:w="0" w:type="dxa"/>
              <w:bottom w:w="0" w:type="dxa"/>
            </w:tcMar>
            <w:vAlign w:val="center"/>
          </w:tcPr>
          <w:p w:rsidR="0008552A" w:rsidRDefault="000F7018">
            <w:pPr>
              <w:keepNext/>
              <w:keepLines/>
              <w:spacing w:after="0" w:line="240" w:lineRule="auto"/>
              <w:jc w:val="right"/>
            </w:pPr>
            <w:r>
              <w:rPr>
                <w:sz w:val="18"/>
              </w:rPr>
              <w:t>978.215,04</w:t>
            </w:r>
          </w:p>
        </w:tc>
        <w:tc>
          <w:tcPr>
            <w:tcW w:w="1860" w:type="dxa"/>
            <w:tcMar>
              <w:top w:w="0" w:type="dxa"/>
              <w:bottom w:w="0" w:type="dxa"/>
            </w:tcMar>
            <w:vAlign w:val="center"/>
          </w:tcPr>
          <w:p w:rsidR="0008552A" w:rsidRDefault="000F7018">
            <w:pPr>
              <w:keepNext/>
              <w:keepLines/>
              <w:spacing w:after="0" w:line="240" w:lineRule="auto"/>
              <w:jc w:val="right"/>
            </w:pPr>
            <w:r>
              <w:rPr>
                <w:sz w:val="18"/>
              </w:rPr>
              <w:t>1.138.833,91</w:t>
            </w:r>
          </w:p>
        </w:tc>
        <w:tc>
          <w:tcPr>
            <w:tcW w:w="700" w:type="dxa"/>
            <w:tcMar>
              <w:top w:w="0" w:type="dxa"/>
              <w:bottom w:w="0" w:type="dxa"/>
            </w:tcMar>
            <w:vAlign w:val="center"/>
          </w:tcPr>
          <w:p w:rsidR="0008552A" w:rsidRDefault="000F7018">
            <w:pPr>
              <w:keepNext/>
              <w:keepLines/>
              <w:spacing w:after="0" w:line="240" w:lineRule="auto"/>
              <w:jc w:val="right"/>
            </w:pPr>
            <w:r>
              <w:rPr>
                <w:sz w:val="18"/>
              </w:rPr>
              <w:t>116,4</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8552A" w:rsidRDefault="000F7018">
            <w:pPr>
              <w:keepNext/>
              <w:keepLines/>
              <w:spacing w:after="0" w:line="240" w:lineRule="auto"/>
            </w:pPr>
            <w:r>
              <w:rPr>
                <w:b/>
                <w:sz w:val="18"/>
              </w:rPr>
              <w:t>Y002</w:t>
            </w:r>
          </w:p>
        </w:tc>
        <w:tc>
          <w:tcPr>
            <w:tcW w:w="1860" w:type="dxa"/>
            <w:tcMar>
              <w:top w:w="0" w:type="dxa"/>
              <w:bottom w:w="0" w:type="dxa"/>
            </w:tcMar>
            <w:vAlign w:val="center"/>
          </w:tcPr>
          <w:p w:rsidR="0008552A" w:rsidRDefault="000F7018">
            <w:pPr>
              <w:keepNext/>
              <w:keepLines/>
              <w:spacing w:after="0" w:line="240" w:lineRule="auto"/>
              <w:jc w:val="right"/>
            </w:pPr>
            <w:r>
              <w:rPr>
                <w:b/>
                <w:sz w:val="18"/>
              </w:rPr>
              <w:t>978.215,04</w:t>
            </w:r>
          </w:p>
        </w:tc>
        <w:tc>
          <w:tcPr>
            <w:tcW w:w="1860" w:type="dxa"/>
            <w:tcMar>
              <w:top w:w="0" w:type="dxa"/>
              <w:bottom w:w="0" w:type="dxa"/>
            </w:tcMar>
            <w:vAlign w:val="center"/>
          </w:tcPr>
          <w:p w:rsidR="0008552A" w:rsidRDefault="000F7018">
            <w:pPr>
              <w:keepNext/>
              <w:keepLines/>
              <w:spacing w:after="0" w:line="240" w:lineRule="auto"/>
              <w:jc w:val="right"/>
            </w:pPr>
            <w:r>
              <w:rPr>
                <w:b/>
                <w:sz w:val="18"/>
              </w:rPr>
              <w:t>1.138.833,91</w:t>
            </w:r>
          </w:p>
        </w:tc>
        <w:tc>
          <w:tcPr>
            <w:tcW w:w="700" w:type="dxa"/>
            <w:tcMar>
              <w:top w:w="0" w:type="dxa"/>
              <w:bottom w:w="0" w:type="dxa"/>
            </w:tcMar>
            <w:vAlign w:val="center"/>
          </w:tcPr>
          <w:p w:rsidR="0008552A" w:rsidRDefault="000F7018">
            <w:pPr>
              <w:keepNext/>
              <w:keepLines/>
              <w:spacing w:after="0" w:line="240" w:lineRule="auto"/>
              <w:jc w:val="right"/>
            </w:pPr>
            <w:r>
              <w:rPr>
                <w:b/>
                <w:sz w:val="18"/>
              </w:rPr>
              <w:t>116,4</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8</w:t>
            </w:r>
          </w:p>
        </w:tc>
        <w:tc>
          <w:tcPr>
            <w:tcW w:w="3180" w:type="dxa"/>
            <w:tcMar>
              <w:top w:w="0" w:type="dxa"/>
              <w:bottom w:w="0" w:type="dxa"/>
            </w:tcMar>
            <w:vAlign w:val="center"/>
          </w:tcPr>
          <w:p w:rsidR="0008552A" w:rsidRDefault="000F701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8552A" w:rsidRDefault="000F7018">
            <w:pPr>
              <w:keepNext/>
              <w:keepLines/>
              <w:spacing w:after="0" w:line="240" w:lineRule="auto"/>
            </w:pPr>
            <w:r>
              <w:rPr>
                <w:sz w:val="18"/>
              </w:rPr>
              <w:t>8</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700" w:type="dxa"/>
            <w:tcMar>
              <w:top w:w="0" w:type="dxa"/>
              <w:bottom w:w="0" w:type="dxa"/>
            </w:tcMar>
            <w:vAlign w:val="center"/>
          </w:tcPr>
          <w:p w:rsidR="0008552A" w:rsidRDefault="000F7018">
            <w:pPr>
              <w:keepNext/>
              <w:keepLines/>
              <w:spacing w:after="0" w:line="240" w:lineRule="auto"/>
              <w:jc w:val="right"/>
            </w:pPr>
            <w:r>
              <w:rPr>
                <w:sz w:val="18"/>
              </w:rPr>
              <w:t>-</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5</w:t>
            </w:r>
          </w:p>
        </w:tc>
        <w:tc>
          <w:tcPr>
            <w:tcW w:w="3180" w:type="dxa"/>
            <w:tcMar>
              <w:top w:w="0" w:type="dxa"/>
              <w:bottom w:w="0" w:type="dxa"/>
            </w:tcMar>
            <w:vAlign w:val="center"/>
          </w:tcPr>
          <w:p w:rsidR="0008552A" w:rsidRDefault="000F701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8552A" w:rsidRDefault="000F7018">
            <w:pPr>
              <w:keepNext/>
              <w:keepLines/>
              <w:spacing w:after="0" w:line="240" w:lineRule="auto"/>
            </w:pPr>
            <w:r>
              <w:rPr>
                <w:sz w:val="18"/>
              </w:rPr>
              <w:t>5</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700" w:type="dxa"/>
            <w:tcMar>
              <w:top w:w="0" w:type="dxa"/>
              <w:bottom w:w="0" w:type="dxa"/>
            </w:tcMar>
            <w:vAlign w:val="center"/>
          </w:tcPr>
          <w:p w:rsidR="0008552A" w:rsidRDefault="000F7018">
            <w:pPr>
              <w:keepNext/>
              <w:keepLines/>
              <w:spacing w:after="0" w:line="240" w:lineRule="auto"/>
              <w:jc w:val="right"/>
            </w:pPr>
            <w:r>
              <w:rPr>
                <w:sz w:val="18"/>
              </w:rPr>
              <w:t>-</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8552A" w:rsidRDefault="000F7018">
            <w:pPr>
              <w:keepNext/>
              <w:keepLines/>
              <w:spacing w:after="0" w:line="240" w:lineRule="auto"/>
            </w:pPr>
            <w:r>
              <w:rPr>
                <w:b/>
                <w:sz w:val="18"/>
              </w:rPr>
              <w:t>X003, Y003</w:t>
            </w:r>
          </w:p>
        </w:tc>
        <w:tc>
          <w:tcPr>
            <w:tcW w:w="1860" w:type="dxa"/>
            <w:tcMar>
              <w:top w:w="0" w:type="dxa"/>
              <w:bottom w:w="0" w:type="dxa"/>
            </w:tcMar>
            <w:vAlign w:val="center"/>
          </w:tcPr>
          <w:p w:rsidR="0008552A" w:rsidRDefault="000F7018">
            <w:pPr>
              <w:keepNext/>
              <w:keepLines/>
              <w:spacing w:after="0" w:line="240" w:lineRule="auto"/>
              <w:jc w:val="right"/>
            </w:pPr>
            <w:r>
              <w:rPr>
                <w:b/>
                <w:sz w:val="18"/>
              </w:rPr>
              <w:t>0,00</w:t>
            </w:r>
          </w:p>
        </w:tc>
        <w:tc>
          <w:tcPr>
            <w:tcW w:w="1860" w:type="dxa"/>
            <w:tcMar>
              <w:top w:w="0" w:type="dxa"/>
              <w:bottom w:w="0" w:type="dxa"/>
            </w:tcMar>
            <w:vAlign w:val="center"/>
          </w:tcPr>
          <w:p w:rsidR="0008552A" w:rsidRDefault="000F7018">
            <w:pPr>
              <w:keepNext/>
              <w:keepLines/>
              <w:spacing w:after="0" w:line="240" w:lineRule="auto"/>
              <w:jc w:val="right"/>
            </w:pPr>
            <w:r>
              <w:rPr>
                <w:b/>
                <w:sz w:val="18"/>
              </w:rPr>
              <w:t>0,00</w:t>
            </w:r>
          </w:p>
        </w:tc>
        <w:tc>
          <w:tcPr>
            <w:tcW w:w="700" w:type="dxa"/>
            <w:tcMar>
              <w:top w:w="0" w:type="dxa"/>
              <w:bottom w:w="0" w:type="dxa"/>
            </w:tcMar>
            <w:vAlign w:val="center"/>
          </w:tcPr>
          <w:p w:rsidR="0008552A" w:rsidRDefault="000F7018">
            <w:pPr>
              <w:keepNext/>
              <w:keepLines/>
              <w:spacing w:after="0" w:line="240" w:lineRule="auto"/>
              <w:jc w:val="right"/>
            </w:pPr>
            <w:r>
              <w:rPr>
                <w:b/>
                <w:sz w:val="18"/>
              </w:rPr>
              <w:t>-</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b/>
                <w:sz w:val="18"/>
              </w:rPr>
              <w:t>MANJAK PRIHODA I PRIMITAKA (šifre Y345-X678)</w:t>
            </w:r>
          </w:p>
        </w:tc>
        <w:tc>
          <w:tcPr>
            <w:tcW w:w="700" w:type="dxa"/>
            <w:tcMar>
              <w:top w:w="0" w:type="dxa"/>
              <w:bottom w:w="0" w:type="dxa"/>
            </w:tcMar>
            <w:vAlign w:val="center"/>
          </w:tcPr>
          <w:p w:rsidR="0008552A" w:rsidRDefault="000F7018">
            <w:pPr>
              <w:keepNext/>
              <w:keepLines/>
              <w:spacing w:after="0" w:line="240" w:lineRule="auto"/>
            </w:pPr>
            <w:r>
              <w:rPr>
                <w:b/>
                <w:sz w:val="18"/>
              </w:rPr>
              <w:t>Y005</w:t>
            </w:r>
          </w:p>
        </w:tc>
        <w:tc>
          <w:tcPr>
            <w:tcW w:w="1860" w:type="dxa"/>
            <w:tcMar>
              <w:top w:w="0" w:type="dxa"/>
              <w:bottom w:w="0" w:type="dxa"/>
            </w:tcMar>
            <w:vAlign w:val="center"/>
          </w:tcPr>
          <w:p w:rsidR="0008552A" w:rsidRDefault="000F7018">
            <w:pPr>
              <w:keepNext/>
              <w:keepLines/>
              <w:spacing w:after="0" w:line="240" w:lineRule="auto"/>
              <w:jc w:val="right"/>
            </w:pPr>
            <w:r>
              <w:rPr>
                <w:b/>
                <w:sz w:val="18"/>
              </w:rPr>
              <w:t>937.672,28</w:t>
            </w:r>
          </w:p>
        </w:tc>
        <w:tc>
          <w:tcPr>
            <w:tcW w:w="1860" w:type="dxa"/>
            <w:tcMar>
              <w:top w:w="0" w:type="dxa"/>
              <w:bottom w:w="0" w:type="dxa"/>
            </w:tcMar>
            <w:vAlign w:val="center"/>
          </w:tcPr>
          <w:p w:rsidR="0008552A" w:rsidRDefault="000F7018">
            <w:pPr>
              <w:keepNext/>
              <w:keepLines/>
              <w:spacing w:after="0" w:line="240" w:lineRule="auto"/>
              <w:jc w:val="right"/>
            </w:pPr>
            <w:r>
              <w:rPr>
                <w:b/>
                <w:sz w:val="18"/>
              </w:rPr>
              <w:t>997.581,77</w:t>
            </w:r>
          </w:p>
        </w:tc>
        <w:tc>
          <w:tcPr>
            <w:tcW w:w="700" w:type="dxa"/>
            <w:tcMar>
              <w:top w:w="0" w:type="dxa"/>
              <w:bottom w:w="0" w:type="dxa"/>
            </w:tcMar>
            <w:vAlign w:val="center"/>
          </w:tcPr>
          <w:p w:rsidR="0008552A" w:rsidRDefault="000F7018">
            <w:pPr>
              <w:keepNext/>
              <w:keepLines/>
              <w:spacing w:after="0" w:line="240" w:lineRule="auto"/>
              <w:jc w:val="right"/>
            </w:pPr>
            <w:r>
              <w:rPr>
                <w:b/>
                <w:sz w:val="18"/>
              </w:rPr>
              <w:t>106,4</w:t>
            </w:r>
          </w:p>
        </w:tc>
      </w:tr>
    </w:tbl>
    <w:p w:rsidR="0008552A" w:rsidRDefault="0008552A">
      <w:pPr>
        <w:spacing w:after="0"/>
      </w:pPr>
    </w:p>
    <w:p w:rsidR="0008552A" w:rsidRDefault="000F7018">
      <w:r>
        <w:t>U obrascu PR-RAS u ovom izvještajnom razdoblju ukupni prihodi poslovanja porasli su za 29,6% najvećim dijelom zbog povećanja proračunske osnovice za izračun plaća i drugih materijalnih prava zaposlenika, zbog uplate ministarstva obrazovanja za nabavku opreme te zbog primljenih sredstava za sufinanciranje nabave udžbenika učenicima Splitsko-dalmatinske županije.</w:t>
      </w:r>
    </w:p>
    <w:p w:rsidR="0008552A" w:rsidRDefault="000F7018">
      <w:r>
        <w:lastRenderedPageBreak/>
        <w:t>Ukupni rashodi poslovanja veći su za 26,9% najvećim dijelom zbog knjiženja plaće za 12.mjesec u rashode 2025.godine, te troškova sufinanciranje udžbenika učenicima i manjim dijelom zbog porasta svih ostalih troškova materijala i usluga vezanih za redovno poslovanje.</w:t>
      </w:r>
    </w:p>
    <w:p w:rsidR="0008552A" w:rsidRDefault="000F7018">
      <w:r>
        <w:t xml:space="preserve">Prebijanjem ukupnih prihoda (uplata </w:t>
      </w:r>
      <w:proofErr w:type="spellStart"/>
      <w:r>
        <w:t>Erasmus</w:t>
      </w:r>
      <w:proofErr w:type="spellEnd"/>
      <w:r>
        <w:t>+, vlastita sredstva, uplata ministarstva i Splitsko dalmatinske županije za opremu i radove na razredu 6) i rashoda (manjak sa izvora ministarstva za plaću u iznosu 279.039,88 € ostvaren je višak poslovanja u iznosu 141.252,14 €.</w:t>
      </w:r>
    </w:p>
    <w:p w:rsidR="0008552A" w:rsidRDefault="000F7018">
      <w:r>
        <w:t>Manjak za nefinancijsku imovinu u iznosu 1.138.833,91 € iskazan je zbog troškova opreme i radova na školi, taj manjak ćemo pokriti iz viška prihoda prethodnih godina za nefinancijsku imovinu te osiguranim sredstvima osnivača koja će nam biti uplaćen u narednom razdoblju. </w:t>
      </w:r>
    </w:p>
    <w:p w:rsidR="0008552A" w:rsidRDefault="000F7018">
      <w:r>
        <w:t> </w:t>
      </w:r>
    </w:p>
    <w:p w:rsidR="0008552A" w:rsidRDefault="000F7018">
      <w:r>
        <w:br/>
      </w:r>
    </w:p>
    <w:p w:rsidR="0008552A" w:rsidRDefault="000F7018">
      <w:pPr>
        <w:keepNext/>
        <w:spacing w:line="240" w:lineRule="auto"/>
        <w:jc w:val="center"/>
      </w:pPr>
      <w:r>
        <w:rPr>
          <w:sz w:val="28"/>
        </w:rPr>
        <w:t>Bilješka 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6361</w:t>
            </w:r>
          </w:p>
        </w:tc>
        <w:tc>
          <w:tcPr>
            <w:tcW w:w="3180" w:type="dxa"/>
            <w:tcMar>
              <w:top w:w="0" w:type="dxa"/>
              <w:bottom w:w="0" w:type="dxa"/>
            </w:tcMar>
            <w:vAlign w:val="center"/>
          </w:tcPr>
          <w:p w:rsidR="0008552A" w:rsidRDefault="000F7018">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08552A" w:rsidRDefault="000F7018">
            <w:pPr>
              <w:keepNext/>
              <w:keepLines/>
              <w:spacing w:after="0" w:line="240" w:lineRule="auto"/>
            </w:pPr>
            <w:r>
              <w:rPr>
                <w:sz w:val="18"/>
              </w:rPr>
              <w:t>6361</w:t>
            </w:r>
          </w:p>
        </w:tc>
        <w:tc>
          <w:tcPr>
            <w:tcW w:w="1860" w:type="dxa"/>
            <w:tcMar>
              <w:top w:w="0" w:type="dxa"/>
              <w:bottom w:w="0" w:type="dxa"/>
            </w:tcMar>
            <w:vAlign w:val="center"/>
          </w:tcPr>
          <w:p w:rsidR="0008552A" w:rsidRDefault="000F7018">
            <w:pPr>
              <w:keepNext/>
              <w:keepLines/>
              <w:spacing w:after="0" w:line="240" w:lineRule="auto"/>
              <w:jc w:val="right"/>
            </w:pPr>
            <w:r>
              <w:rPr>
                <w:sz w:val="18"/>
              </w:rPr>
              <w:t>2.886.931,01</w:t>
            </w:r>
          </w:p>
        </w:tc>
        <w:tc>
          <w:tcPr>
            <w:tcW w:w="1860" w:type="dxa"/>
            <w:tcMar>
              <w:top w:w="0" w:type="dxa"/>
              <w:bottom w:w="0" w:type="dxa"/>
            </w:tcMar>
            <w:vAlign w:val="center"/>
          </w:tcPr>
          <w:p w:rsidR="0008552A" w:rsidRDefault="000F7018">
            <w:pPr>
              <w:keepNext/>
              <w:keepLines/>
              <w:spacing w:after="0" w:line="240" w:lineRule="auto"/>
              <w:jc w:val="right"/>
            </w:pPr>
            <w:r>
              <w:rPr>
                <w:sz w:val="18"/>
              </w:rPr>
              <w:t>3.200.869,63</w:t>
            </w:r>
          </w:p>
        </w:tc>
        <w:tc>
          <w:tcPr>
            <w:tcW w:w="700" w:type="dxa"/>
            <w:tcMar>
              <w:top w:w="0" w:type="dxa"/>
              <w:bottom w:w="0" w:type="dxa"/>
            </w:tcMar>
            <w:vAlign w:val="center"/>
          </w:tcPr>
          <w:p w:rsidR="0008552A" w:rsidRDefault="000F7018">
            <w:pPr>
              <w:keepNext/>
              <w:keepLines/>
              <w:spacing w:after="0" w:line="240" w:lineRule="auto"/>
              <w:jc w:val="right"/>
            </w:pPr>
            <w:r>
              <w:rPr>
                <w:sz w:val="18"/>
              </w:rPr>
              <w:t>110,9</w:t>
            </w:r>
          </w:p>
        </w:tc>
      </w:tr>
    </w:tbl>
    <w:p w:rsidR="0008552A" w:rsidRDefault="0008552A">
      <w:pPr>
        <w:spacing w:after="0"/>
      </w:pPr>
    </w:p>
    <w:p w:rsidR="0008552A" w:rsidRDefault="000F7018">
      <w:r>
        <w:t>Povećanje prihoda na ovoj poziciji je uvjetovano povećanjem osnovice za izračun plaća zaposlenika u dva navrata od 01.02.2025. za 3% i od 01.09.2025. za 3% i povećanja proračunske osnovice za materijalna prava zaposlenika.</w:t>
      </w:r>
    </w:p>
    <w:p w:rsidR="0008552A" w:rsidRDefault="0008552A"/>
    <w:p w:rsidR="0008552A" w:rsidRDefault="000F7018">
      <w:pPr>
        <w:keepNext/>
        <w:spacing w:line="240" w:lineRule="auto"/>
        <w:jc w:val="center"/>
      </w:pPr>
      <w:r>
        <w:rPr>
          <w:sz w:val="28"/>
        </w:rPr>
        <w:t>Bilješka 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6362</w:t>
            </w:r>
          </w:p>
        </w:tc>
        <w:tc>
          <w:tcPr>
            <w:tcW w:w="3180" w:type="dxa"/>
            <w:tcMar>
              <w:top w:w="0" w:type="dxa"/>
              <w:bottom w:w="0" w:type="dxa"/>
            </w:tcMar>
            <w:vAlign w:val="center"/>
          </w:tcPr>
          <w:p w:rsidR="0008552A" w:rsidRDefault="000F7018">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08552A" w:rsidRDefault="000F7018">
            <w:pPr>
              <w:keepNext/>
              <w:keepLines/>
              <w:spacing w:after="0" w:line="240" w:lineRule="auto"/>
            </w:pPr>
            <w:r>
              <w:rPr>
                <w:sz w:val="18"/>
              </w:rPr>
              <w:t>6362</w:t>
            </w:r>
          </w:p>
        </w:tc>
        <w:tc>
          <w:tcPr>
            <w:tcW w:w="1860" w:type="dxa"/>
            <w:tcMar>
              <w:top w:w="0" w:type="dxa"/>
              <w:bottom w:w="0" w:type="dxa"/>
            </w:tcMar>
            <w:vAlign w:val="center"/>
          </w:tcPr>
          <w:p w:rsidR="0008552A" w:rsidRDefault="000F7018">
            <w:pPr>
              <w:keepNext/>
              <w:keepLines/>
              <w:spacing w:after="0" w:line="240" w:lineRule="auto"/>
              <w:jc w:val="right"/>
            </w:pPr>
            <w:r>
              <w:rPr>
                <w:sz w:val="18"/>
              </w:rPr>
              <w:t>1.065,00</w:t>
            </w:r>
          </w:p>
        </w:tc>
        <w:tc>
          <w:tcPr>
            <w:tcW w:w="1860" w:type="dxa"/>
            <w:tcMar>
              <w:top w:w="0" w:type="dxa"/>
              <w:bottom w:w="0" w:type="dxa"/>
            </w:tcMar>
            <w:vAlign w:val="center"/>
          </w:tcPr>
          <w:p w:rsidR="0008552A" w:rsidRDefault="000F7018">
            <w:pPr>
              <w:keepNext/>
              <w:keepLines/>
              <w:spacing w:after="0" w:line="240" w:lineRule="auto"/>
              <w:jc w:val="right"/>
            </w:pPr>
            <w:r>
              <w:rPr>
                <w:sz w:val="18"/>
              </w:rPr>
              <w:t>126.559,20</w:t>
            </w:r>
          </w:p>
        </w:tc>
        <w:tc>
          <w:tcPr>
            <w:tcW w:w="700" w:type="dxa"/>
            <w:tcMar>
              <w:top w:w="0" w:type="dxa"/>
              <w:bottom w:w="0" w:type="dxa"/>
            </w:tcMar>
            <w:vAlign w:val="center"/>
          </w:tcPr>
          <w:p w:rsidR="0008552A" w:rsidRDefault="000F7018">
            <w:pPr>
              <w:keepNext/>
              <w:keepLines/>
              <w:spacing w:after="0" w:line="240" w:lineRule="auto"/>
              <w:jc w:val="right"/>
            </w:pPr>
            <w:r>
              <w:rPr>
                <w:sz w:val="18"/>
              </w:rPr>
              <w:t>&gt;&gt;100</w:t>
            </w:r>
          </w:p>
        </w:tc>
      </w:tr>
    </w:tbl>
    <w:p w:rsidR="0008552A" w:rsidRDefault="0008552A">
      <w:pPr>
        <w:spacing w:after="0"/>
      </w:pPr>
    </w:p>
    <w:p w:rsidR="0008552A" w:rsidRDefault="000F7018">
      <w:r>
        <w:t>Povećanje u odnosu na prošlu godinu jer nam je ministarstvo odobrilo sredstva u iznosu 125.000,00 € za opremanje nadograđenog dijela škole.</w:t>
      </w:r>
    </w:p>
    <w:p w:rsidR="0008552A" w:rsidRDefault="0008552A"/>
    <w:p w:rsidR="0008552A" w:rsidRDefault="000F7018">
      <w:pPr>
        <w:keepNext/>
        <w:spacing w:line="240" w:lineRule="auto"/>
        <w:jc w:val="center"/>
      </w:pPr>
      <w:r>
        <w:rPr>
          <w:sz w:val="28"/>
        </w:rPr>
        <w:lastRenderedPageBreak/>
        <w:t>Bilješka 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6381</w:t>
            </w:r>
          </w:p>
        </w:tc>
        <w:tc>
          <w:tcPr>
            <w:tcW w:w="3180" w:type="dxa"/>
            <w:tcMar>
              <w:top w:w="0" w:type="dxa"/>
              <w:bottom w:w="0" w:type="dxa"/>
            </w:tcMar>
            <w:vAlign w:val="center"/>
          </w:tcPr>
          <w:p w:rsidR="0008552A" w:rsidRDefault="000F7018">
            <w:pPr>
              <w:keepNext/>
              <w:keepLines/>
              <w:spacing w:after="0" w:line="240" w:lineRule="auto"/>
            </w:pPr>
            <w:r>
              <w:rPr>
                <w:sz w:val="18"/>
              </w:rPr>
              <w:t>Tekuće pomoći temeljem prijenosa EU sredstava</w:t>
            </w:r>
          </w:p>
        </w:tc>
        <w:tc>
          <w:tcPr>
            <w:tcW w:w="700" w:type="dxa"/>
            <w:tcMar>
              <w:top w:w="0" w:type="dxa"/>
              <w:bottom w:w="0" w:type="dxa"/>
            </w:tcMar>
            <w:vAlign w:val="center"/>
          </w:tcPr>
          <w:p w:rsidR="0008552A" w:rsidRDefault="000F7018">
            <w:pPr>
              <w:keepNext/>
              <w:keepLines/>
              <w:spacing w:after="0" w:line="240" w:lineRule="auto"/>
            </w:pPr>
            <w:r>
              <w:rPr>
                <w:sz w:val="18"/>
              </w:rPr>
              <w:t>6381</w:t>
            </w:r>
          </w:p>
        </w:tc>
        <w:tc>
          <w:tcPr>
            <w:tcW w:w="1860" w:type="dxa"/>
            <w:tcMar>
              <w:top w:w="0" w:type="dxa"/>
              <w:bottom w:w="0" w:type="dxa"/>
            </w:tcMar>
            <w:vAlign w:val="center"/>
          </w:tcPr>
          <w:p w:rsidR="0008552A" w:rsidRDefault="000F7018">
            <w:pPr>
              <w:keepNext/>
              <w:keepLines/>
              <w:spacing w:after="0" w:line="240" w:lineRule="auto"/>
              <w:jc w:val="right"/>
            </w:pPr>
            <w:r>
              <w:rPr>
                <w:sz w:val="18"/>
              </w:rPr>
              <w:t>53.672,80</w:t>
            </w:r>
          </w:p>
        </w:tc>
        <w:tc>
          <w:tcPr>
            <w:tcW w:w="1860" w:type="dxa"/>
            <w:tcMar>
              <w:top w:w="0" w:type="dxa"/>
              <w:bottom w:w="0" w:type="dxa"/>
            </w:tcMar>
            <w:vAlign w:val="center"/>
          </w:tcPr>
          <w:p w:rsidR="0008552A" w:rsidRDefault="000F7018">
            <w:pPr>
              <w:keepNext/>
              <w:keepLines/>
              <w:spacing w:after="0" w:line="240" w:lineRule="auto"/>
              <w:jc w:val="right"/>
            </w:pPr>
            <w:r>
              <w:rPr>
                <w:sz w:val="18"/>
              </w:rPr>
              <w:t>48.639,00</w:t>
            </w:r>
          </w:p>
        </w:tc>
        <w:tc>
          <w:tcPr>
            <w:tcW w:w="700" w:type="dxa"/>
            <w:tcMar>
              <w:top w:w="0" w:type="dxa"/>
              <w:bottom w:w="0" w:type="dxa"/>
            </w:tcMar>
            <w:vAlign w:val="center"/>
          </w:tcPr>
          <w:p w:rsidR="0008552A" w:rsidRDefault="000F7018">
            <w:pPr>
              <w:keepNext/>
              <w:keepLines/>
              <w:spacing w:after="0" w:line="240" w:lineRule="auto"/>
              <w:jc w:val="right"/>
            </w:pPr>
            <w:r>
              <w:rPr>
                <w:sz w:val="18"/>
              </w:rPr>
              <w:t>90,6</w:t>
            </w:r>
          </w:p>
        </w:tc>
      </w:tr>
    </w:tbl>
    <w:p w:rsidR="0008552A" w:rsidRDefault="0008552A">
      <w:pPr>
        <w:spacing w:after="0"/>
      </w:pPr>
    </w:p>
    <w:p w:rsidR="0008552A" w:rsidRDefault="000F7018">
      <w:r>
        <w:t xml:space="preserve">Smanjenje prihoda u odnosu na prošlu godinu jer se prihodi evidentiraju po završetku projekta </w:t>
      </w:r>
      <w:proofErr w:type="spellStart"/>
      <w:r>
        <w:t>Erasmus</w:t>
      </w:r>
      <w:proofErr w:type="spellEnd"/>
      <w:r>
        <w:t>+ po uputi iz Okružnice za sastavljanje i predaju financijskih izvještaja za 2025. godinu.</w:t>
      </w:r>
    </w:p>
    <w:p w:rsidR="0008552A" w:rsidRDefault="0008552A"/>
    <w:p w:rsidR="0008552A" w:rsidRDefault="000F7018">
      <w:pPr>
        <w:keepNext/>
        <w:spacing w:line="240" w:lineRule="auto"/>
        <w:jc w:val="center"/>
      </w:pPr>
      <w:r>
        <w:rPr>
          <w:sz w:val="28"/>
        </w:rPr>
        <w:t>Bilješka 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6391</w:t>
            </w:r>
          </w:p>
        </w:tc>
        <w:tc>
          <w:tcPr>
            <w:tcW w:w="3180" w:type="dxa"/>
            <w:tcMar>
              <w:top w:w="0" w:type="dxa"/>
              <w:bottom w:w="0" w:type="dxa"/>
            </w:tcMar>
            <w:vAlign w:val="center"/>
          </w:tcPr>
          <w:p w:rsidR="0008552A" w:rsidRDefault="000F7018">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08552A" w:rsidRDefault="000F7018">
            <w:pPr>
              <w:keepNext/>
              <w:keepLines/>
              <w:spacing w:after="0" w:line="240" w:lineRule="auto"/>
            </w:pPr>
            <w:r>
              <w:rPr>
                <w:sz w:val="18"/>
              </w:rPr>
              <w:t>6391</w:t>
            </w:r>
          </w:p>
        </w:tc>
        <w:tc>
          <w:tcPr>
            <w:tcW w:w="1860" w:type="dxa"/>
            <w:tcMar>
              <w:top w:w="0" w:type="dxa"/>
              <w:bottom w:w="0" w:type="dxa"/>
            </w:tcMar>
            <w:vAlign w:val="center"/>
          </w:tcPr>
          <w:p w:rsidR="0008552A" w:rsidRDefault="000F7018">
            <w:pPr>
              <w:keepNext/>
              <w:keepLines/>
              <w:spacing w:after="0" w:line="240" w:lineRule="auto"/>
              <w:jc w:val="right"/>
            </w:pPr>
            <w:r>
              <w:rPr>
                <w:sz w:val="18"/>
              </w:rPr>
              <w:t>296,70</w:t>
            </w:r>
          </w:p>
        </w:tc>
        <w:tc>
          <w:tcPr>
            <w:tcW w:w="1860" w:type="dxa"/>
            <w:tcMar>
              <w:top w:w="0" w:type="dxa"/>
              <w:bottom w:w="0" w:type="dxa"/>
            </w:tcMar>
            <w:vAlign w:val="center"/>
          </w:tcPr>
          <w:p w:rsidR="0008552A" w:rsidRDefault="000F7018">
            <w:pPr>
              <w:keepNext/>
              <w:keepLines/>
              <w:spacing w:after="0" w:line="240" w:lineRule="auto"/>
              <w:jc w:val="right"/>
            </w:pPr>
            <w:r>
              <w:rPr>
                <w:sz w:val="18"/>
              </w:rPr>
              <w:t>1.021,57</w:t>
            </w:r>
          </w:p>
        </w:tc>
        <w:tc>
          <w:tcPr>
            <w:tcW w:w="700" w:type="dxa"/>
            <w:tcMar>
              <w:top w:w="0" w:type="dxa"/>
              <w:bottom w:w="0" w:type="dxa"/>
            </w:tcMar>
            <w:vAlign w:val="center"/>
          </w:tcPr>
          <w:p w:rsidR="0008552A" w:rsidRDefault="000F7018">
            <w:pPr>
              <w:keepNext/>
              <w:keepLines/>
              <w:spacing w:after="0" w:line="240" w:lineRule="auto"/>
              <w:jc w:val="right"/>
            </w:pPr>
            <w:r>
              <w:rPr>
                <w:sz w:val="18"/>
              </w:rPr>
              <w:t>344,3</w:t>
            </w:r>
          </w:p>
        </w:tc>
      </w:tr>
    </w:tbl>
    <w:p w:rsidR="0008552A" w:rsidRDefault="0008552A">
      <w:pPr>
        <w:spacing w:after="0"/>
      </w:pPr>
    </w:p>
    <w:p w:rsidR="0008552A" w:rsidRDefault="000F7018">
      <w:r>
        <w:t>Prijenosi između PK se odnose na prihode za plaću Pomoćnika u nastavi kojeg je osnivač angažirao od 9.mjeseca 2024. godine zbog potrebe učenice sa poteškoćama.</w:t>
      </w:r>
    </w:p>
    <w:p w:rsidR="0008552A" w:rsidRDefault="0008552A"/>
    <w:p w:rsidR="0008552A" w:rsidRDefault="000F7018">
      <w:pPr>
        <w:keepNext/>
        <w:spacing w:line="240" w:lineRule="auto"/>
        <w:jc w:val="center"/>
      </w:pPr>
      <w:r>
        <w:rPr>
          <w:sz w:val="28"/>
        </w:rPr>
        <w:t>Bilješka 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6413</w:t>
            </w:r>
          </w:p>
        </w:tc>
        <w:tc>
          <w:tcPr>
            <w:tcW w:w="3180" w:type="dxa"/>
            <w:tcMar>
              <w:top w:w="0" w:type="dxa"/>
              <w:bottom w:w="0" w:type="dxa"/>
            </w:tcMar>
            <w:vAlign w:val="center"/>
          </w:tcPr>
          <w:p w:rsidR="0008552A" w:rsidRDefault="000F7018">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08552A" w:rsidRDefault="000F7018">
            <w:pPr>
              <w:keepNext/>
              <w:keepLines/>
              <w:spacing w:after="0" w:line="240" w:lineRule="auto"/>
            </w:pPr>
            <w:r>
              <w:rPr>
                <w:sz w:val="18"/>
              </w:rPr>
              <w:t>6413</w:t>
            </w:r>
          </w:p>
        </w:tc>
        <w:tc>
          <w:tcPr>
            <w:tcW w:w="1860" w:type="dxa"/>
            <w:tcMar>
              <w:top w:w="0" w:type="dxa"/>
              <w:bottom w:w="0" w:type="dxa"/>
            </w:tcMar>
            <w:vAlign w:val="center"/>
          </w:tcPr>
          <w:p w:rsidR="0008552A" w:rsidRDefault="000F7018">
            <w:pPr>
              <w:keepNext/>
              <w:keepLines/>
              <w:spacing w:after="0" w:line="240" w:lineRule="auto"/>
              <w:jc w:val="right"/>
            </w:pPr>
            <w:r>
              <w:rPr>
                <w:sz w:val="18"/>
              </w:rPr>
              <w:t>10,08</w:t>
            </w:r>
          </w:p>
        </w:tc>
        <w:tc>
          <w:tcPr>
            <w:tcW w:w="1860" w:type="dxa"/>
            <w:tcMar>
              <w:top w:w="0" w:type="dxa"/>
              <w:bottom w:w="0" w:type="dxa"/>
            </w:tcMar>
            <w:vAlign w:val="center"/>
          </w:tcPr>
          <w:p w:rsidR="0008552A" w:rsidRDefault="000F7018">
            <w:pPr>
              <w:keepNext/>
              <w:keepLines/>
              <w:spacing w:after="0" w:line="240" w:lineRule="auto"/>
              <w:jc w:val="right"/>
            </w:pPr>
            <w:r>
              <w:rPr>
                <w:sz w:val="18"/>
              </w:rPr>
              <w:t>5,05</w:t>
            </w:r>
          </w:p>
        </w:tc>
        <w:tc>
          <w:tcPr>
            <w:tcW w:w="700" w:type="dxa"/>
            <w:tcMar>
              <w:top w:w="0" w:type="dxa"/>
              <w:bottom w:w="0" w:type="dxa"/>
            </w:tcMar>
            <w:vAlign w:val="center"/>
          </w:tcPr>
          <w:p w:rsidR="0008552A" w:rsidRDefault="000F7018">
            <w:pPr>
              <w:keepNext/>
              <w:keepLines/>
              <w:spacing w:after="0" w:line="240" w:lineRule="auto"/>
              <w:jc w:val="right"/>
            </w:pPr>
            <w:r>
              <w:rPr>
                <w:sz w:val="18"/>
              </w:rPr>
              <w:t>50,1</w:t>
            </w:r>
          </w:p>
        </w:tc>
      </w:tr>
    </w:tbl>
    <w:p w:rsidR="0008552A" w:rsidRDefault="0008552A">
      <w:pPr>
        <w:spacing w:after="0"/>
      </w:pPr>
    </w:p>
    <w:p w:rsidR="0008552A" w:rsidRDefault="000F7018">
      <w:r>
        <w:t>Ovaj prihod se odnosi na kamate za vođenje žiro-računa, smanjenje u odnosu na prošlu godinu zbog utrošenih prihoda od prodaje nefinancijske imovine za nadogradnju škole.</w:t>
      </w:r>
    </w:p>
    <w:p w:rsidR="0008552A" w:rsidRDefault="0008552A"/>
    <w:p w:rsidR="0008552A" w:rsidRDefault="000F7018">
      <w:pPr>
        <w:keepNext/>
        <w:spacing w:line="240" w:lineRule="auto"/>
        <w:jc w:val="center"/>
      </w:pPr>
      <w:r>
        <w:rPr>
          <w:sz w:val="28"/>
        </w:rPr>
        <w:t>Bilješka 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6526</w:t>
            </w:r>
          </w:p>
        </w:tc>
        <w:tc>
          <w:tcPr>
            <w:tcW w:w="3180" w:type="dxa"/>
            <w:tcMar>
              <w:top w:w="0" w:type="dxa"/>
              <w:bottom w:w="0" w:type="dxa"/>
            </w:tcMar>
            <w:vAlign w:val="center"/>
          </w:tcPr>
          <w:p w:rsidR="0008552A" w:rsidRDefault="000F7018">
            <w:pPr>
              <w:keepNext/>
              <w:keepLines/>
              <w:spacing w:after="0" w:line="240" w:lineRule="auto"/>
            </w:pPr>
            <w:r>
              <w:rPr>
                <w:sz w:val="18"/>
              </w:rPr>
              <w:t>Ostali nespomenuti prihodi</w:t>
            </w:r>
          </w:p>
        </w:tc>
        <w:tc>
          <w:tcPr>
            <w:tcW w:w="700" w:type="dxa"/>
            <w:tcMar>
              <w:top w:w="0" w:type="dxa"/>
              <w:bottom w:w="0" w:type="dxa"/>
            </w:tcMar>
            <w:vAlign w:val="center"/>
          </w:tcPr>
          <w:p w:rsidR="0008552A" w:rsidRDefault="000F7018">
            <w:pPr>
              <w:keepNext/>
              <w:keepLines/>
              <w:spacing w:after="0" w:line="240" w:lineRule="auto"/>
            </w:pPr>
            <w:r>
              <w:rPr>
                <w:sz w:val="18"/>
              </w:rPr>
              <w:t>6526</w:t>
            </w:r>
          </w:p>
        </w:tc>
        <w:tc>
          <w:tcPr>
            <w:tcW w:w="1860" w:type="dxa"/>
            <w:tcMar>
              <w:top w:w="0" w:type="dxa"/>
              <w:bottom w:w="0" w:type="dxa"/>
            </w:tcMar>
            <w:vAlign w:val="center"/>
          </w:tcPr>
          <w:p w:rsidR="0008552A" w:rsidRDefault="000F7018">
            <w:pPr>
              <w:keepNext/>
              <w:keepLines/>
              <w:spacing w:after="0" w:line="240" w:lineRule="auto"/>
              <w:jc w:val="right"/>
            </w:pPr>
            <w:r>
              <w:rPr>
                <w:sz w:val="18"/>
              </w:rPr>
              <w:t>36.234,20</w:t>
            </w:r>
          </w:p>
        </w:tc>
        <w:tc>
          <w:tcPr>
            <w:tcW w:w="1860" w:type="dxa"/>
            <w:tcMar>
              <w:top w:w="0" w:type="dxa"/>
              <w:bottom w:w="0" w:type="dxa"/>
            </w:tcMar>
            <w:vAlign w:val="center"/>
          </w:tcPr>
          <w:p w:rsidR="0008552A" w:rsidRDefault="000F7018">
            <w:pPr>
              <w:keepNext/>
              <w:keepLines/>
              <w:spacing w:after="0" w:line="240" w:lineRule="auto"/>
              <w:jc w:val="right"/>
            </w:pPr>
            <w:r>
              <w:rPr>
                <w:sz w:val="18"/>
              </w:rPr>
              <w:t>26.885,00</w:t>
            </w:r>
          </w:p>
        </w:tc>
        <w:tc>
          <w:tcPr>
            <w:tcW w:w="700" w:type="dxa"/>
            <w:tcMar>
              <w:top w:w="0" w:type="dxa"/>
              <w:bottom w:w="0" w:type="dxa"/>
            </w:tcMar>
            <w:vAlign w:val="center"/>
          </w:tcPr>
          <w:p w:rsidR="0008552A" w:rsidRDefault="000F7018">
            <w:pPr>
              <w:keepNext/>
              <w:keepLines/>
              <w:spacing w:after="0" w:line="240" w:lineRule="auto"/>
              <w:jc w:val="right"/>
            </w:pPr>
            <w:r>
              <w:rPr>
                <w:sz w:val="18"/>
              </w:rPr>
              <w:t>74,2</w:t>
            </w:r>
          </w:p>
        </w:tc>
      </w:tr>
    </w:tbl>
    <w:p w:rsidR="0008552A" w:rsidRDefault="0008552A">
      <w:pPr>
        <w:spacing w:after="0"/>
      </w:pPr>
    </w:p>
    <w:p w:rsidR="0008552A" w:rsidRDefault="000F7018">
      <w:r>
        <w:t>Smanjenje prihoda u odnosu na prošlu godinu zbog manjih troškova za maturalnu zabavu.</w:t>
      </w:r>
    </w:p>
    <w:p w:rsidR="0008552A" w:rsidRDefault="0008552A"/>
    <w:p w:rsidR="0008552A" w:rsidRDefault="000F7018">
      <w:pPr>
        <w:keepNext/>
        <w:spacing w:line="240" w:lineRule="auto"/>
        <w:jc w:val="center"/>
      </w:pPr>
      <w:r>
        <w:rPr>
          <w:sz w:val="28"/>
        </w:rPr>
        <w:lastRenderedPageBreak/>
        <w:t>Bilješka 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6631</w:t>
            </w:r>
          </w:p>
        </w:tc>
        <w:tc>
          <w:tcPr>
            <w:tcW w:w="3180" w:type="dxa"/>
            <w:tcMar>
              <w:top w:w="0" w:type="dxa"/>
              <w:bottom w:w="0" w:type="dxa"/>
            </w:tcMar>
            <w:vAlign w:val="center"/>
          </w:tcPr>
          <w:p w:rsidR="0008552A" w:rsidRDefault="000F7018">
            <w:pPr>
              <w:keepNext/>
              <w:keepLines/>
              <w:spacing w:after="0" w:line="240" w:lineRule="auto"/>
            </w:pPr>
            <w:r>
              <w:rPr>
                <w:sz w:val="18"/>
              </w:rPr>
              <w:t>Tekuće donacije</w:t>
            </w:r>
          </w:p>
        </w:tc>
        <w:tc>
          <w:tcPr>
            <w:tcW w:w="700" w:type="dxa"/>
            <w:tcMar>
              <w:top w:w="0" w:type="dxa"/>
              <w:bottom w:w="0" w:type="dxa"/>
            </w:tcMar>
            <w:vAlign w:val="center"/>
          </w:tcPr>
          <w:p w:rsidR="0008552A" w:rsidRDefault="000F7018">
            <w:pPr>
              <w:keepNext/>
              <w:keepLines/>
              <w:spacing w:after="0" w:line="240" w:lineRule="auto"/>
            </w:pPr>
            <w:r>
              <w:rPr>
                <w:sz w:val="18"/>
              </w:rPr>
              <w:t>6631</w:t>
            </w:r>
          </w:p>
        </w:tc>
        <w:tc>
          <w:tcPr>
            <w:tcW w:w="1860" w:type="dxa"/>
            <w:tcMar>
              <w:top w:w="0" w:type="dxa"/>
              <w:bottom w:w="0" w:type="dxa"/>
            </w:tcMar>
            <w:vAlign w:val="center"/>
          </w:tcPr>
          <w:p w:rsidR="0008552A" w:rsidRDefault="000F7018">
            <w:pPr>
              <w:keepNext/>
              <w:keepLines/>
              <w:spacing w:after="0" w:line="240" w:lineRule="auto"/>
              <w:jc w:val="right"/>
            </w:pPr>
            <w:r>
              <w:rPr>
                <w:sz w:val="18"/>
              </w:rPr>
              <w:t>6.850,00</w:t>
            </w:r>
          </w:p>
        </w:tc>
        <w:tc>
          <w:tcPr>
            <w:tcW w:w="1860" w:type="dxa"/>
            <w:tcMar>
              <w:top w:w="0" w:type="dxa"/>
              <w:bottom w:w="0" w:type="dxa"/>
            </w:tcMar>
            <w:vAlign w:val="center"/>
          </w:tcPr>
          <w:p w:rsidR="0008552A" w:rsidRDefault="000F7018">
            <w:pPr>
              <w:keepNext/>
              <w:keepLines/>
              <w:spacing w:after="0" w:line="240" w:lineRule="auto"/>
              <w:jc w:val="right"/>
            </w:pPr>
            <w:r>
              <w:rPr>
                <w:sz w:val="18"/>
              </w:rPr>
              <w:t>8.584,60</w:t>
            </w:r>
          </w:p>
        </w:tc>
        <w:tc>
          <w:tcPr>
            <w:tcW w:w="700" w:type="dxa"/>
            <w:tcMar>
              <w:top w:w="0" w:type="dxa"/>
              <w:bottom w:w="0" w:type="dxa"/>
            </w:tcMar>
            <w:vAlign w:val="center"/>
          </w:tcPr>
          <w:p w:rsidR="0008552A" w:rsidRDefault="000F7018">
            <w:pPr>
              <w:keepNext/>
              <w:keepLines/>
              <w:spacing w:after="0" w:line="240" w:lineRule="auto"/>
              <w:jc w:val="right"/>
            </w:pPr>
            <w:r>
              <w:rPr>
                <w:sz w:val="18"/>
              </w:rPr>
              <w:t>125,3</w:t>
            </w:r>
          </w:p>
        </w:tc>
      </w:tr>
    </w:tbl>
    <w:p w:rsidR="0008552A" w:rsidRDefault="0008552A">
      <w:pPr>
        <w:spacing w:after="0"/>
      </w:pPr>
    </w:p>
    <w:p w:rsidR="0008552A" w:rsidRDefault="000F7018">
      <w:r>
        <w:t>Ostvareni prihodi od donacija su povećani u odnosu na isto razdoblje prošle godine za 25,30% . Obuhvaćaju primljena sredstva od agencija za realizaciju maturalnih putovanja učenika i terensku nastavu, te donacije za realizaciju raznih projekata na kojim sudjeluju učenici i nastavnici.</w:t>
      </w:r>
    </w:p>
    <w:p w:rsidR="0008552A" w:rsidRDefault="0008552A"/>
    <w:p w:rsidR="0008552A" w:rsidRDefault="000F7018">
      <w:pPr>
        <w:keepNext/>
        <w:spacing w:line="240" w:lineRule="auto"/>
        <w:jc w:val="center"/>
      </w:pPr>
      <w:r>
        <w:rPr>
          <w:sz w:val="28"/>
        </w:rPr>
        <w:t>Bilješka 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6711</w:t>
            </w:r>
          </w:p>
        </w:tc>
        <w:tc>
          <w:tcPr>
            <w:tcW w:w="3180" w:type="dxa"/>
            <w:tcMar>
              <w:top w:w="0" w:type="dxa"/>
              <w:bottom w:w="0" w:type="dxa"/>
            </w:tcMar>
            <w:vAlign w:val="center"/>
          </w:tcPr>
          <w:p w:rsidR="0008552A" w:rsidRDefault="000F7018">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08552A" w:rsidRDefault="000F7018">
            <w:pPr>
              <w:keepNext/>
              <w:keepLines/>
              <w:spacing w:after="0" w:line="240" w:lineRule="auto"/>
            </w:pPr>
            <w:r>
              <w:rPr>
                <w:sz w:val="18"/>
              </w:rPr>
              <w:t>6711</w:t>
            </w:r>
          </w:p>
        </w:tc>
        <w:tc>
          <w:tcPr>
            <w:tcW w:w="1860" w:type="dxa"/>
            <w:tcMar>
              <w:top w:w="0" w:type="dxa"/>
              <w:bottom w:w="0" w:type="dxa"/>
            </w:tcMar>
            <w:vAlign w:val="center"/>
          </w:tcPr>
          <w:p w:rsidR="0008552A" w:rsidRDefault="000F7018">
            <w:pPr>
              <w:keepNext/>
              <w:keepLines/>
              <w:spacing w:after="0" w:line="240" w:lineRule="auto"/>
              <w:jc w:val="right"/>
            </w:pPr>
            <w:r>
              <w:rPr>
                <w:sz w:val="18"/>
              </w:rPr>
              <w:t>204.354,66</w:t>
            </w:r>
          </w:p>
        </w:tc>
        <w:tc>
          <w:tcPr>
            <w:tcW w:w="1860" w:type="dxa"/>
            <w:tcMar>
              <w:top w:w="0" w:type="dxa"/>
              <w:bottom w:w="0" w:type="dxa"/>
            </w:tcMar>
            <w:vAlign w:val="center"/>
          </w:tcPr>
          <w:p w:rsidR="0008552A" w:rsidRDefault="000F7018">
            <w:pPr>
              <w:keepNext/>
              <w:keepLines/>
              <w:spacing w:after="0" w:line="240" w:lineRule="auto"/>
              <w:jc w:val="right"/>
            </w:pPr>
            <w:r>
              <w:rPr>
                <w:sz w:val="18"/>
              </w:rPr>
              <w:t>405.047,64</w:t>
            </w:r>
          </w:p>
        </w:tc>
        <w:tc>
          <w:tcPr>
            <w:tcW w:w="700" w:type="dxa"/>
            <w:tcMar>
              <w:top w:w="0" w:type="dxa"/>
              <w:bottom w:w="0" w:type="dxa"/>
            </w:tcMar>
            <w:vAlign w:val="center"/>
          </w:tcPr>
          <w:p w:rsidR="0008552A" w:rsidRDefault="000F7018">
            <w:pPr>
              <w:keepNext/>
              <w:keepLines/>
              <w:spacing w:after="0" w:line="240" w:lineRule="auto"/>
              <w:jc w:val="right"/>
            </w:pPr>
            <w:r>
              <w:rPr>
                <w:sz w:val="18"/>
              </w:rPr>
              <w:t>198,2</w:t>
            </w:r>
          </w:p>
        </w:tc>
      </w:tr>
    </w:tbl>
    <w:p w:rsidR="0008552A" w:rsidRDefault="0008552A">
      <w:pPr>
        <w:spacing w:after="0"/>
      </w:pPr>
    </w:p>
    <w:p w:rsidR="0008552A" w:rsidRDefault="000F7018">
      <w:r>
        <w:t>Značajan porast prihoda od 98,20% je rezultat odobrenih sredstava za sufinanciranje udžbenika učenicima u ukupnom iznosu 166.800,00 € za 834 učenika te uplaćenih plaća za Pomoćnika u nastavi.</w:t>
      </w:r>
    </w:p>
    <w:p w:rsidR="0008552A" w:rsidRDefault="0008552A"/>
    <w:p w:rsidR="0008552A" w:rsidRDefault="000F7018">
      <w:pPr>
        <w:keepNext/>
        <w:spacing w:line="240" w:lineRule="auto"/>
        <w:jc w:val="center"/>
      </w:pPr>
      <w:r>
        <w:rPr>
          <w:sz w:val="28"/>
        </w:rPr>
        <w:t>Bilješka 10.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6712</w:t>
            </w:r>
          </w:p>
        </w:tc>
        <w:tc>
          <w:tcPr>
            <w:tcW w:w="3180" w:type="dxa"/>
            <w:tcMar>
              <w:top w:w="0" w:type="dxa"/>
              <w:bottom w:w="0" w:type="dxa"/>
            </w:tcMar>
            <w:vAlign w:val="center"/>
          </w:tcPr>
          <w:p w:rsidR="0008552A" w:rsidRDefault="000F7018">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08552A" w:rsidRDefault="000F7018">
            <w:pPr>
              <w:keepNext/>
              <w:keepLines/>
              <w:spacing w:after="0" w:line="240" w:lineRule="auto"/>
            </w:pPr>
            <w:r>
              <w:rPr>
                <w:sz w:val="18"/>
              </w:rPr>
              <w:t>6712</w:t>
            </w:r>
          </w:p>
        </w:tc>
        <w:tc>
          <w:tcPr>
            <w:tcW w:w="1860" w:type="dxa"/>
            <w:tcMar>
              <w:top w:w="0" w:type="dxa"/>
              <w:bottom w:w="0" w:type="dxa"/>
            </w:tcMar>
            <w:vAlign w:val="center"/>
          </w:tcPr>
          <w:p w:rsidR="0008552A" w:rsidRDefault="000F7018">
            <w:pPr>
              <w:keepNext/>
              <w:keepLines/>
              <w:spacing w:after="0" w:line="240" w:lineRule="auto"/>
              <w:jc w:val="right"/>
            </w:pPr>
            <w:r>
              <w:rPr>
                <w:sz w:val="18"/>
              </w:rPr>
              <w:t>840,61</w:t>
            </w:r>
          </w:p>
        </w:tc>
        <w:tc>
          <w:tcPr>
            <w:tcW w:w="1860" w:type="dxa"/>
            <w:tcMar>
              <w:top w:w="0" w:type="dxa"/>
              <w:bottom w:w="0" w:type="dxa"/>
            </w:tcMar>
            <w:vAlign w:val="center"/>
          </w:tcPr>
          <w:p w:rsidR="0008552A" w:rsidRDefault="000F7018">
            <w:pPr>
              <w:keepNext/>
              <w:keepLines/>
              <w:spacing w:after="0" w:line="240" w:lineRule="auto"/>
              <w:jc w:val="right"/>
            </w:pPr>
            <w:r>
              <w:rPr>
                <w:sz w:val="18"/>
              </w:rPr>
              <w:t>328.082,35</w:t>
            </w:r>
          </w:p>
        </w:tc>
        <w:tc>
          <w:tcPr>
            <w:tcW w:w="700" w:type="dxa"/>
            <w:tcMar>
              <w:top w:w="0" w:type="dxa"/>
              <w:bottom w:w="0" w:type="dxa"/>
            </w:tcMar>
            <w:vAlign w:val="center"/>
          </w:tcPr>
          <w:p w:rsidR="0008552A" w:rsidRDefault="000F7018">
            <w:pPr>
              <w:keepNext/>
              <w:keepLines/>
              <w:spacing w:after="0" w:line="240" w:lineRule="auto"/>
              <w:jc w:val="right"/>
            </w:pPr>
            <w:r>
              <w:rPr>
                <w:sz w:val="18"/>
              </w:rPr>
              <w:t>&gt;&gt;100</w:t>
            </w:r>
          </w:p>
        </w:tc>
      </w:tr>
    </w:tbl>
    <w:p w:rsidR="0008552A" w:rsidRDefault="0008552A">
      <w:pPr>
        <w:spacing w:after="0"/>
      </w:pPr>
    </w:p>
    <w:p w:rsidR="0008552A" w:rsidRDefault="000F7018">
      <w:r>
        <w:t>Prihodi za nabavu nefinancijske imovine odnose se na nabavu opreme za kontrolu ulaska u školu u iznosu 1.207,35 € zbog sigurnosnih mjera u školi, nabavu lektire za školsku knjižnicu u iznosu 2.100,00 € te 324.775,00 € osnivač nam je osigurao za završetak investicije nadogradnje škole (radovi i oprema).</w:t>
      </w:r>
    </w:p>
    <w:p w:rsidR="0008552A" w:rsidRDefault="0008552A"/>
    <w:p w:rsidR="0008552A" w:rsidRDefault="000F7018">
      <w:pPr>
        <w:keepNext/>
        <w:spacing w:line="240" w:lineRule="auto"/>
        <w:jc w:val="center"/>
      </w:pPr>
      <w:r>
        <w:rPr>
          <w:sz w:val="28"/>
        </w:rPr>
        <w:lastRenderedPageBreak/>
        <w:t>Bilješka 11.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3111</w:t>
            </w:r>
          </w:p>
        </w:tc>
        <w:tc>
          <w:tcPr>
            <w:tcW w:w="3180" w:type="dxa"/>
            <w:tcMar>
              <w:top w:w="0" w:type="dxa"/>
              <w:bottom w:w="0" w:type="dxa"/>
            </w:tcMar>
            <w:vAlign w:val="center"/>
          </w:tcPr>
          <w:p w:rsidR="0008552A" w:rsidRDefault="000F7018">
            <w:pPr>
              <w:keepNext/>
              <w:keepLines/>
              <w:spacing w:after="0" w:line="240" w:lineRule="auto"/>
            </w:pPr>
            <w:r>
              <w:rPr>
                <w:sz w:val="18"/>
              </w:rPr>
              <w:t>Plaće za redovan rad</w:t>
            </w:r>
          </w:p>
        </w:tc>
        <w:tc>
          <w:tcPr>
            <w:tcW w:w="700" w:type="dxa"/>
            <w:tcMar>
              <w:top w:w="0" w:type="dxa"/>
              <w:bottom w:w="0" w:type="dxa"/>
            </w:tcMar>
            <w:vAlign w:val="center"/>
          </w:tcPr>
          <w:p w:rsidR="0008552A" w:rsidRDefault="000F7018">
            <w:pPr>
              <w:keepNext/>
              <w:keepLines/>
              <w:spacing w:after="0" w:line="240" w:lineRule="auto"/>
            </w:pPr>
            <w:r>
              <w:rPr>
                <w:sz w:val="18"/>
              </w:rPr>
              <w:t>3111</w:t>
            </w:r>
          </w:p>
        </w:tc>
        <w:tc>
          <w:tcPr>
            <w:tcW w:w="1860" w:type="dxa"/>
            <w:tcMar>
              <w:top w:w="0" w:type="dxa"/>
              <w:bottom w:w="0" w:type="dxa"/>
            </w:tcMar>
            <w:vAlign w:val="center"/>
          </w:tcPr>
          <w:p w:rsidR="0008552A" w:rsidRDefault="000F7018">
            <w:pPr>
              <w:keepNext/>
              <w:keepLines/>
              <w:spacing w:after="0" w:line="240" w:lineRule="auto"/>
              <w:jc w:val="right"/>
            </w:pPr>
            <w:r>
              <w:rPr>
                <w:sz w:val="18"/>
              </w:rPr>
              <w:t>2.396.185,78</w:t>
            </w:r>
          </w:p>
        </w:tc>
        <w:tc>
          <w:tcPr>
            <w:tcW w:w="1860" w:type="dxa"/>
            <w:tcMar>
              <w:top w:w="0" w:type="dxa"/>
              <w:bottom w:w="0" w:type="dxa"/>
            </w:tcMar>
            <w:vAlign w:val="center"/>
          </w:tcPr>
          <w:p w:rsidR="0008552A" w:rsidRDefault="000F7018">
            <w:pPr>
              <w:keepNext/>
              <w:keepLines/>
              <w:spacing w:after="0" w:line="240" w:lineRule="auto"/>
              <w:jc w:val="right"/>
            </w:pPr>
            <w:r>
              <w:rPr>
                <w:sz w:val="18"/>
              </w:rPr>
              <w:t>2.891.709,36</w:t>
            </w:r>
          </w:p>
        </w:tc>
        <w:tc>
          <w:tcPr>
            <w:tcW w:w="700" w:type="dxa"/>
            <w:tcMar>
              <w:top w:w="0" w:type="dxa"/>
              <w:bottom w:w="0" w:type="dxa"/>
            </w:tcMar>
            <w:vAlign w:val="center"/>
          </w:tcPr>
          <w:p w:rsidR="0008552A" w:rsidRDefault="000F7018">
            <w:pPr>
              <w:keepNext/>
              <w:keepLines/>
              <w:spacing w:after="0" w:line="240" w:lineRule="auto"/>
              <w:jc w:val="right"/>
            </w:pPr>
            <w:r>
              <w:rPr>
                <w:sz w:val="18"/>
              </w:rPr>
              <w:t>120,7</w:t>
            </w:r>
          </w:p>
        </w:tc>
      </w:tr>
    </w:tbl>
    <w:p w:rsidR="0008552A" w:rsidRDefault="0008552A">
      <w:pPr>
        <w:spacing w:after="0"/>
      </w:pPr>
    </w:p>
    <w:p w:rsidR="0008552A" w:rsidRDefault="000F7018">
      <w:r>
        <w:t>Porast troškova plaća za redovan rad zaposlenika od 20,7% je uvjetovan povećanjem osnovice za obračun plaća u javnim službama u dva navrata u protekloj godini po 3%, a s time i porasta doprinosa i poreza vezanih za plaću te povećanog broja zaposlenika. Također smo po uputi ministarstva financija knjižili u ovom razdoblju trinaest plaća jer smo sa kontinuiranih rashoda budućih razdoblja prenijeli na račune razreda 3.</w:t>
      </w:r>
    </w:p>
    <w:p w:rsidR="0008552A" w:rsidRDefault="0008552A"/>
    <w:p w:rsidR="0008552A" w:rsidRDefault="000F7018">
      <w:pPr>
        <w:keepNext/>
        <w:spacing w:line="240" w:lineRule="auto"/>
        <w:jc w:val="center"/>
      </w:pPr>
      <w:r>
        <w:rPr>
          <w:sz w:val="28"/>
        </w:rPr>
        <w:t>Bilješka 12.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321</w:t>
            </w:r>
          </w:p>
        </w:tc>
        <w:tc>
          <w:tcPr>
            <w:tcW w:w="3180" w:type="dxa"/>
            <w:tcMar>
              <w:top w:w="0" w:type="dxa"/>
              <w:bottom w:w="0" w:type="dxa"/>
            </w:tcMar>
            <w:vAlign w:val="center"/>
          </w:tcPr>
          <w:p w:rsidR="0008552A" w:rsidRDefault="000F7018">
            <w:pPr>
              <w:keepNext/>
              <w:keepLines/>
              <w:spacing w:after="0" w:line="240" w:lineRule="auto"/>
            </w:pPr>
            <w:r>
              <w:rPr>
                <w:sz w:val="18"/>
              </w:rPr>
              <w:t>Naknade troškova zaposlenima (šifre 3211 do 3214)</w:t>
            </w:r>
          </w:p>
        </w:tc>
        <w:tc>
          <w:tcPr>
            <w:tcW w:w="700" w:type="dxa"/>
            <w:tcMar>
              <w:top w:w="0" w:type="dxa"/>
              <w:bottom w:w="0" w:type="dxa"/>
            </w:tcMar>
            <w:vAlign w:val="center"/>
          </w:tcPr>
          <w:p w:rsidR="0008552A" w:rsidRDefault="000F7018">
            <w:pPr>
              <w:keepNext/>
              <w:keepLines/>
              <w:spacing w:after="0" w:line="240" w:lineRule="auto"/>
            </w:pPr>
            <w:r>
              <w:rPr>
                <w:sz w:val="18"/>
              </w:rPr>
              <w:t>321</w:t>
            </w:r>
          </w:p>
        </w:tc>
        <w:tc>
          <w:tcPr>
            <w:tcW w:w="1860" w:type="dxa"/>
            <w:tcMar>
              <w:top w:w="0" w:type="dxa"/>
              <w:bottom w:w="0" w:type="dxa"/>
            </w:tcMar>
            <w:vAlign w:val="center"/>
          </w:tcPr>
          <w:p w:rsidR="0008552A" w:rsidRDefault="000F7018">
            <w:pPr>
              <w:keepNext/>
              <w:keepLines/>
              <w:spacing w:after="0" w:line="240" w:lineRule="auto"/>
              <w:jc w:val="right"/>
            </w:pPr>
            <w:r>
              <w:rPr>
                <w:sz w:val="18"/>
              </w:rPr>
              <w:t>70.884,28</w:t>
            </w:r>
          </w:p>
        </w:tc>
        <w:tc>
          <w:tcPr>
            <w:tcW w:w="1860" w:type="dxa"/>
            <w:tcMar>
              <w:top w:w="0" w:type="dxa"/>
              <w:bottom w:w="0" w:type="dxa"/>
            </w:tcMar>
            <w:vAlign w:val="center"/>
          </w:tcPr>
          <w:p w:rsidR="0008552A" w:rsidRDefault="000F7018">
            <w:pPr>
              <w:keepNext/>
              <w:keepLines/>
              <w:spacing w:after="0" w:line="240" w:lineRule="auto"/>
              <w:jc w:val="right"/>
            </w:pPr>
            <w:r>
              <w:rPr>
                <w:sz w:val="18"/>
              </w:rPr>
              <w:t>87.892,66</w:t>
            </w:r>
          </w:p>
        </w:tc>
        <w:tc>
          <w:tcPr>
            <w:tcW w:w="700" w:type="dxa"/>
            <w:tcMar>
              <w:top w:w="0" w:type="dxa"/>
              <w:bottom w:w="0" w:type="dxa"/>
            </w:tcMar>
            <w:vAlign w:val="center"/>
          </w:tcPr>
          <w:p w:rsidR="0008552A" w:rsidRDefault="000F7018">
            <w:pPr>
              <w:keepNext/>
              <w:keepLines/>
              <w:spacing w:after="0" w:line="240" w:lineRule="auto"/>
              <w:jc w:val="right"/>
            </w:pPr>
            <w:r>
              <w:rPr>
                <w:sz w:val="18"/>
              </w:rPr>
              <w:t>124,0</w:t>
            </w:r>
          </w:p>
        </w:tc>
      </w:tr>
    </w:tbl>
    <w:p w:rsidR="0008552A" w:rsidRDefault="0008552A">
      <w:pPr>
        <w:spacing w:after="0"/>
      </w:pPr>
    </w:p>
    <w:p w:rsidR="0008552A" w:rsidRDefault="000F7018">
      <w:r>
        <w:t>Povećanje troškova u odnosu na razdoblje prošle godine za 24% zbog povećanih troškova službenih putovanja i prijevoza zaposlenika ( povećanje broja zaposlenika koji imaju pravo na naknadu za prijevoz).</w:t>
      </w:r>
    </w:p>
    <w:p w:rsidR="0008552A" w:rsidRDefault="0008552A"/>
    <w:p w:rsidR="0008552A" w:rsidRDefault="000F7018">
      <w:pPr>
        <w:keepNext/>
        <w:spacing w:line="240" w:lineRule="auto"/>
        <w:jc w:val="center"/>
      </w:pPr>
      <w:r>
        <w:rPr>
          <w:sz w:val="28"/>
        </w:rPr>
        <w:t>Bilješka 13.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322</w:t>
            </w:r>
          </w:p>
        </w:tc>
        <w:tc>
          <w:tcPr>
            <w:tcW w:w="3180" w:type="dxa"/>
            <w:tcMar>
              <w:top w:w="0" w:type="dxa"/>
              <w:bottom w:w="0" w:type="dxa"/>
            </w:tcMar>
            <w:vAlign w:val="center"/>
          </w:tcPr>
          <w:p w:rsidR="0008552A" w:rsidRDefault="000F7018">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08552A" w:rsidRDefault="000F7018">
            <w:pPr>
              <w:keepNext/>
              <w:keepLines/>
              <w:spacing w:after="0" w:line="240" w:lineRule="auto"/>
            </w:pPr>
            <w:r>
              <w:rPr>
                <w:sz w:val="18"/>
              </w:rPr>
              <w:t>322</w:t>
            </w:r>
          </w:p>
        </w:tc>
        <w:tc>
          <w:tcPr>
            <w:tcW w:w="1860" w:type="dxa"/>
            <w:tcMar>
              <w:top w:w="0" w:type="dxa"/>
              <w:bottom w:w="0" w:type="dxa"/>
            </w:tcMar>
            <w:vAlign w:val="center"/>
          </w:tcPr>
          <w:p w:rsidR="0008552A" w:rsidRDefault="000F7018">
            <w:pPr>
              <w:keepNext/>
              <w:keepLines/>
              <w:spacing w:after="0" w:line="240" w:lineRule="auto"/>
              <w:jc w:val="right"/>
            </w:pPr>
            <w:r>
              <w:rPr>
                <w:sz w:val="18"/>
              </w:rPr>
              <w:t>100.534,02</w:t>
            </w:r>
          </w:p>
        </w:tc>
        <w:tc>
          <w:tcPr>
            <w:tcW w:w="1860" w:type="dxa"/>
            <w:tcMar>
              <w:top w:w="0" w:type="dxa"/>
              <w:bottom w:w="0" w:type="dxa"/>
            </w:tcMar>
            <w:vAlign w:val="center"/>
          </w:tcPr>
          <w:p w:rsidR="0008552A" w:rsidRDefault="000F7018">
            <w:pPr>
              <w:keepNext/>
              <w:keepLines/>
              <w:spacing w:after="0" w:line="240" w:lineRule="auto"/>
              <w:jc w:val="right"/>
            </w:pPr>
            <w:r>
              <w:rPr>
                <w:sz w:val="18"/>
              </w:rPr>
              <w:t>130.139,21</w:t>
            </w:r>
          </w:p>
        </w:tc>
        <w:tc>
          <w:tcPr>
            <w:tcW w:w="700" w:type="dxa"/>
            <w:tcMar>
              <w:top w:w="0" w:type="dxa"/>
              <w:bottom w:w="0" w:type="dxa"/>
            </w:tcMar>
            <w:vAlign w:val="center"/>
          </w:tcPr>
          <w:p w:rsidR="0008552A" w:rsidRDefault="000F7018">
            <w:pPr>
              <w:keepNext/>
              <w:keepLines/>
              <w:spacing w:after="0" w:line="240" w:lineRule="auto"/>
              <w:jc w:val="right"/>
            </w:pPr>
            <w:r>
              <w:rPr>
                <w:sz w:val="18"/>
              </w:rPr>
              <w:t>129,4</w:t>
            </w:r>
          </w:p>
        </w:tc>
      </w:tr>
    </w:tbl>
    <w:p w:rsidR="0008552A" w:rsidRDefault="0008552A">
      <w:pPr>
        <w:spacing w:after="0"/>
      </w:pPr>
    </w:p>
    <w:p w:rsidR="0008552A" w:rsidRDefault="000F7018">
      <w:r>
        <w:t xml:space="preserve">U odnosu na prošlu godinu povećanje je za 29,4% zbog opremanja laboratorija u nadograđenom dijelu škole (sitni inventar) i povećanje troškova </w:t>
      </w:r>
      <w:proofErr w:type="spellStart"/>
      <w:r>
        <w:t>el.energije</w:t>
      </w:r>
      <w:proofErr w:type="spellEnd"/>
      <w:r>
        <w:t xml:space="preserve"> zbog korištenja klima (jedan period u prošlog godini klime su bile isključene zbog radova u školi).</w:t>
      </w:r>
    </w:p>
    <w:p w:rsidR="0008552A" w:rsidRDefault="0008552A"/>
    <w:p w:rsidR="0008552A" w:rsidRDefault="000F7018">
      <w:pPr>
        <w:keepNext/>
        <w:spacing w:line="240" w:lineRule="auto"/>
        <w:jc w:val="center"/>
      </w:pPr>
      <w:r>
        <w:rPr>
          <w:sz w:val="28"/>
        </w:rPr>
        <w:t>Bilješka 14.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323</w:t>
            </w:r>
          </w:p>
        </w:tc>
        <w:tc>
          <w:tcPr>
            <w:tcW w:w="3180" w:type="dxa"/>
            <w:tcMar>
              <w:top w:w="0" w:type="dxa"/>
              <w:bottom w:w="0" w:type="dxa"/>
            </w:tcMar>
            <w:vAlign w:val="center"/>
          </w:tcPr>
          <w:p w:rsidR="0008552A" w:rsidRDefault="000F7018">
            <w:pPr>
              <w:keepNext/>
              <w:keepLines/>
              <w:spacing w:after="0" w:line="240" w:lineRule="auto"/>
            </w:pPr>
            <w:r>
              <w:rPr>
                <w:sz w:val="18"/>
              </w:rPr>
              <w:t>Rashodi za usluge (šifre 3231 do 3239)</w:t>
            </w:r>
          </w:p>
        </w:tc>
        <w:tc>
          <w:tcPr>
            <w:tcW w:w="700" w:type="dxa"/>
            <w:tcMar>
              <w:top w:w="0" w:type="dxa"/>
              <w:bottom w:w="0" w:type="dxa"/>
            </w:tcMar>
            <w:vAlign w:val="center"/>
          </w:tcPr>
          <w:p w:rsidR="0008552A" w:rsidRDefault="000F7018">
            <w:pPr>
              <w:keepNext/>
              <w:keepLines/>
              <w:spacing w:after="0" w:line="240" w:lineRule="auto"/>
            </w:pPr>
            <w:r>
              <w:rPr>
                <w:sz w:val="18"/>
              </w:rPr>
              <w:t>323</w:t>
            </w:r>
          </w:p>
        </w:tc>
        <w:tc>
          <w:tcPr>
            <w:tcW w:w="1860" w:type="dxa"/>
            <w:tcMar>
              <w:top w:w="0" w:type="dxa"/>
              <w:bottom w:w="0" w:type="dxa"/>
            </w:tcMar>
            <w:vAlign w:val="center"/>
          </w:tcPr>
          <w:p w:rsidR="0008552A" w:rsidRDefault="000F7018">
            <w:pPr>
              <w:keepNext/>
              <w:keepLines/>
              <w:spacing w:after="0" w:line="240" w:lineRule="auto"/>
              <w:jc w:val="right"/>
            </w:pPr>
            <w:r>
              <w:rPr>
                <w:sz w:val="18"/>
              </w:rPr>
              <w:t>65.994,80</w:t>
            </w:r>
          </w:p>
        </w:tc>
        <w:tc>
          <w:tcPr>
            <w:tcW w:w="1860" w:type="dxa"/>
            <w:tcMar>
              <w:top w:w="0" w:type="dxa"/>
              <w:bottom w:w="0" w:type="dxa"/>
            </w:tcMar>
            <w:vAlign w:val="center"/>
          </w:tcPr>
          <w:p w:rsidR="0008552A" w:rsidRDefault="000F7018">
            <w:pPr>
              <w:keepNext/>
              <w:keepLines/>
              <w:spacing w:after="0" w:line="240" w:lineRule="auto"/>
              <w:jc w:val="right"/>
            </w:pPr>
            <w:r>
              <w:rPr>
                <w:sz w:val="18"/>
              </w:rPr>
              <w:t>89.436,60</w:t>
            </w:r>
          </w:p>
        </w:tc>
        <w:tc>
          <w:tcPr>
            <w:tcW w:w="700" w:type="dxa"/>
            <w:tcMar>
              <w:top w:w="0" w:type="dxa"/>
              <w:bottom w:w="0" w:type="dxa"/>
            </w:tcMar>
            <w:vAlign w:val="center"/>
          </w:tcPr>
          <w:p w:rsidR="0008552A" w:rsidRDefault="000F7018">
            <w:pPr>
              <w:keepNext/>
              <w:keepLines/>
              <w:spacing w:after="0" w:line="240" w:lineRule="auto"/>
              <w:jc w:val="right"/>
            </w:pPr>
            <w:r>
              <w:rPr>
                <w:sz w:val="18"/>
              </w:rPr>
              <w:t>135,5</w:t>
            </w:r>
          </w:p>
        </w:tc>
      </w:tr>
    </w:tbl>
    <w:p w:rsidR="0008552A" w:rsidRDefault="0008552A">
      <w:pPr>
        <w:spacing w:after="0"/>
      </w:pPr>
    </w:p>
    <w:p w:rsidR="0008552A" w:rsidRDefault="000F7018">
      <w:r>
        <w:lastRenderedPageBreak/>
        <w:t xml:space="preserve">Povećani su troškovi usluga u odnosu na prošlu godinu za 35,5% zbog povećanih radova u školi na održavanju (izmjena klima u klimatizacijskom sustavu, popravci u učionicama) , veći broj ugovora o djelu na </w:t>
      </w:r>
      <w:proofErr w:type="spellStart"/>
      <w:r>
        <w:t>projekttima</w:t>
      </w:r>
      <w:proofErr w:type="spellEnd"/>
      <w:r>
        <w:t>, ugovori za dopunske mjere te usluga preko student servisa.</w:t>
      </w:r>
    </w:p>
    <w:p w:rsidR="0008552A" w:rsidRDefault="0008552A"/>
    <w:p w:rsidR="0008552A" w:rsidRDefault="000F7018">
      <w:pPr>
        <w:keepNext/>
        <w:spacing w:line="240" w:lineRule="auto"/>
        <w:jc w:val="center"/>
      </w:pPr>
      <w:r>
        <w:rPr>
          <w:sz w:val="28"/>
        </w:rPr>
        <w:t>Bilješka 15.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324</w:t>
            </w:r>
          </w:p>
        </w:tc>
        <w:tc>
          <w:tcPr>
            <w:tcW w:w="3180" w:type="dxa"/>
            <w:tcMar>
              <w:top w:w="0" w:type="dxa"/>
              <w:bottom w:w="0" w:type="dxa"/>
            </w:tcMar>
            <w:vAlign w:val="center"/>
          </w:tcPr>
          <w:p w:rsidR="0008552A" w:rsidRDefault="000F7018">
            <w:pPr>
              <w:keepNext/>
              <w:keepLines/>
              <w:spacing w:after="0" w:line="240" w:lineRule="auto"/>
            </w:pPr>
            <w:r>
              <w:rPr>
                <w:sz w:val="18"/>
              </w:rPr>
              <w:t>Naknade troškova osobama izvan radnog odnosa</w:t>
            </w:r>
          </w:p>
        </w:tc>
        <w:tc>
          <w:tcPr>
            <w:tcW w:w="700" w:type="dxa"/>
            <w:tcMar>
              <w:top w:w="0" w:type="dxa"/>
              <w:bottom w:w="0" w:type="dxa"/>
            </w:tcMar>
            <w:vAlign w:val="center"/>
          </w:tcPr>
          <w:p w:rsidR="0008552A" w:rsidRDefault="000F7018">
            <w:pPr>
              <w:keepNext/>
              <w:keepLines/>
              <w:spacing w:after="0" w:line="240" w:lineRule="auto"/>
            </w:pPr>
            <w:r>
              <w:rPr>
                <w:sz w:val="18"/>
              </w:rPr>
              <w:t>324</w:t>
            </w:r>
          </w:p>
        </w:tc>
        <w:tc>
          <w:tcPr>
            <w:tcW w:w="1860" w:type="dxa"/>
            <w:tcMar>
              <w:top w:w="0" w:type="dxa"/>
              <w:bottom w:w="0" w:type="dxa"/>
            </w:tcMar>
            <w:vAlign w:val="center"/>
          </w:tcPr>
          <w:p w:rsidR="0008552A" w:rsidRDefault="000F7018">
            <w:pPr>
              <w:keepNext/>
              <w:keepLines/>
              <w:spacing w:after="0" w:line="240" w:lineRule="auto"/>
              <w:jc w:val="right"/>
            </w:pPr>
            <w:r>
              <w:rPr>
                <w:sz w:val="18"/>
              </w:rPr>
              <w:t>40.144,47</w:t>
            </w:r>
          </w:p>
        </w:tc>
        <w:tc>
          <w:tcPr>
            <w:tcW w:w="1860" w:type="dxa"/>
            <w:tcMar>
              <w:top w:w="0" w:type="dxa"/>
              <w:bottom w:w="0" w:type="dxa"/>
            </w:tcMar>
            <w:vAlign w:val="center"/>
          </w:tcPr>
          <w:p w:rsidR="0008552A" w:rsidRDefault="000F7018">
            <w:pPr>
              <w:keepNext/>
              <w:keepLines/>
              <w:spacing w:after="0" w:line="240" w:lineRule="auto"/>
              <w:jc w:val="right"/>
            </w:pPr>
            <w:r>
              <w:rPr>
                <w:sz w:val="18"/>
              </w:rPr>
              <w:t>53.030,48</w:t>
            </w:r>
          </w:p>
        </w:tc>
        <w:tc>
          <w:tcPr>
            <w:tcW w:w="700" w:type="dxa"/>
            <w:tcMar>
              <w:top w:w="0" w:type="dxa"/>
              <w:bottom w:w="0" w:type="dxa"/>
            </w:tcMar>
            <w:vAlign w:val="center"/>
          </w:tcPr>
          <w:p w:rsidR="0008552A" w:rsidRDefault="000F7018">
            <w:pPr>
              <w:keepNext/>
              <w:keepLines/>
              <w:spacing w:after="0" w:line="240" w:lineRule="auto"/>
              <w:jc w:val="right"/>
            </w:pPr>
            <w:r>
              <w:rPr>
                <w:sz w:val="18"/>
              </w:rPr>
              <w:t>132,1</w:t>
            </w:r>
          </w:p>
        </w:tc>
      </w:tr>
    </w:tbl>
    <w:p w:rsidR="0008552A" w:rsidRDefault="0008552A">
      <w:pPr>
        <w:spacing w:after="0"/>
      </w:pPr>
    </w:p>
    <w:p w:rsidR="0008552A" w:rsidRDefault="000F7018">
      <w:r>
        <w:t xml:space="preserve">Povećani su troškovi na kontu 324 jer je više učenika sudjelovalo u mobilnosti na projektima </w:t>
      </w:r>
      <w:proofErr w:type="spellStart"/>
      <w:r>
        <w:t>Erasmus</w:t>
      </w:r>
      <w:proofErr w:type="spellEnd"/>
      <w:r>
        <w:t>+.</w:t>
      </w:r>
    </w:p>
    <w:p w:rsidR="0008552A" w:rsidRDefault="0008552A"/>
    <w:p w:rsidR="0008552A" w:rsidRDefault="000F7018">
      <w:pPr>
        <w:keepNext/>
        <w:spacing w:line="240" w:lineRule="auto"/>
        <w:jc w:val="center"/>
      </w:pPr>
      <w:r>
        <w:rPr>
          <w:sz w:val="28"/>
        </w:rPr>
        <w:t>Bilješka 16.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3431</w:t>
            </w:r>
          </w:p>
        </w:tc>
        <w:tc>
          <w:tcPr>
            <w:tcW w:w="3180" w:type="dxa"/>
            <w:tcMar>
              <w:top w:w="0" w:type="dxa"/>
              <w:bottom w:w="0" w:type="dxa"/>
            </w:tcMar>
            <w:vAlign w:val="center"/>
          </w:tcPr>
          <w:p w:rsidR="0008552A" w:rsidRDefault="000F7018">
            <w:pPr>
              <w:keepNext/>
              <w:keepLines/>
              <w:spacing w:after="0" w:line="240" w:lineRule="auto"/>
            </w:pPr>
            <w:r>
              <w:rPr>
                <w:sz w:val="18"/>
              </w:rPr>
              <w:t>Bankarske usluge i usluge platnog prometa</w:t>
            </w:r>
          </w:p>
        </w:tc>
        <w:tc>
          <w:tcPr>
            <w:tcW w:w="700" w:type="dxa"/>
            <w:tcMar>
              <w:top w:w="0" w:type="dxa"/>
              <w:bottom w:w="0" w:type="dxa"/>
            </w:tcMar>
            <w:vAlign w:val="center"/>
          </w:tcPr>
          <w:p w:rsidR="0008552A" w:rsidRDefault="000F7018">
            <w:pPr>
              <w:keepNext/>
              <w:keepLines/>
              <w:spacing w:after="0" w:line="240" w:lineRule="auto"/>
            </w:pPr>
            <w:r>
              <w:rPr>
                <w:sz w:val="18"/>
              </w:rPr>
              <w:t>3431</w:t>
            </w:r>
          </w:p>
        </w:tc>
        <w:tc>
          <w:tcPr>
            <w:tcW w:w="1860" w:type="dxa"/>
            <w:tcMar>
              <w:top w:w="0" w:type="dxa"/>
              <w:bottom w:w="0" w:type="dxa"/>
            </w:tcMar>
            <w:vAlign w:val="center"/>
          </w:tcPr>
          <w:p w:rsidR="0008552A" w:rsidRDefault="000F7018">
            <w:pPr>
              <w:keepNext/>
              <w:keepLines/>
              <w:spacing w:after="0" w:line="240" w:lineRule="auto"/>
              <w:jc w:val="right"/>
            </w:pPr>
            <w:r>
              <w:rPr>
                <w:sz w:val="18"/>
              </w:rPr>
              <w:t>1.295,38</w:t>
            </w:r>
          </w:p>
        </w:tc>
        <w:tc>
          <w:tcPr>
            <w:tcW w:w="1860" w:type="dxa"/>
            <w:tcMar>
              <w:top w:w="0" w:type="dxa"/>
              <w:bottom w:w="0" w:type="dxa"/>
            </w:tcMar>
            <w:vAlign w:val="center"/>
          </w:tcPr>
          <w:p w:rsidR="0008552A" w:rsidRDefault="000F7018">
            <w:pPr>
              <w:keepNext/>
              <w:keepLines/>
              <w:spacing w:after="0" w:line="240" w:lineRule="auto"/>
              <w:jc w:val="right"/>
            </w:pPr>
            <w:r>
              <w:rPr>
                <w:sz w:val="18"/>
              </w:rPr>
              <w:t>1.617,39</w:t>
            </w:r>
          </w:p>
        </w:tc>
        <w:tc>
          <w:tcPr>
            <w:tcW w:w="700" w:type="dxa"/>
            <w:tcMar>
              <w:top w:w="0" w:type="dxa"/>
              <w:bottom w:w="0" w:type="dxa"/>
            </w:tcMar>
            <w:vAlign w:val="center"/>
          </w:tcPr>
          <w:p w:rsidR="0008552A" w:rsidRDefault="000F7018">
            <w:pPr>
              <w:keepNext/>
              <w:keepLines/>
              <w:spacing w:after="0" w:line="240" w:lineRule="auto"/>
              <w:jc w:val="right"/>
            </w:pPr>
            <w:r>
              <w:rPr>
                <w:sz w:val="18"/>
              </w:rPr>
              <w:t>124,9</w:t>
            </w:r>
          </w:p>
        </w:tc>
      </w:tr>
    </w:tbl>
    <w:p w:rsidR="0008552A" w:rsidRDefault="0008552A">
      <w:pPr>
        <w:spacing w:after="0"/>
      </w:pPr>
    </w:p>
    <w:p w:rsidR="0008552A" w:rsidRDefault="000F7018">
      <w:r>
        <w:t>Bankarske naknade su povećane za 24,9% u odnosu na prethodnu godinu zbog izvršenih uplata učenicima za sufinanciranje nabave udžbenika.</w:t>
      </w:r>
    </w:p>
    <w:p w:rsidR="0008552A" w:rsidRDefault="0008552A"/>
    <w:p w:rsidR="0008552A" w:rsidRDefault="000F7018">
      <w:pPr>
        <w:keepNext/>
        <w:spacing w:line="240" w:lineRule="auto"/>
        <w:jc w:val="center"/>
      </w:pPr>
      <w:r>
        <w:rPr>
          <w:sz w:val="28"/>
        </w:rPr>
        <w:t>Bilješka 17.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3611</w:t>
            </w:r>
          </w:p>
        </w:tc>
        <w:tc>
          <w:tcPr>
            <w:tcW w:w="3180" w:type="dxa"/>
            <w:tcMar>
              <w:top w:w="0" w:type="dxa"/>
              <w:bottom w:w="0" w:type="dxa"/>
            </w:tcMar>
            <w:vAlign w:val="center"/>
          </w:tcPr>
          <w:p w:rsidR="0008552A" w:rsidRDefault="000F7018">
            <w:pPr>
              <w:keepNext/>
              <w:keepLines/>
              <w:spacing w:after="0" w:line="240" w:lineRule="auto"/>
            </w:pPr>
            <w:r>
              <w:rPr>
                <w:sz w:val="18"/>
              </w:rPr>
              <w:t>Tekuće pomoći inozemnim vladama</w:t>
            </w:r>
          </w:p>
        </w:tc>
        <w:tc>
          <w:tcPr>
            <w:tcW w:w="700" w:type="dxa"/>
            <w:tcMar>
              <w:top w:w="0" w:type="dxa"/>
              <w:bottom w:w="0" w:type="dxa"/>
            </w:tcMar>
            <w:vAlign w:val="center"/>
          </w:tcPr>
          <w:p w:rsidR="0008552A" w:rsidRDefault="000F7018">
            <w:pPr>
              <w:keepNext/>
              <w:keepLines/>
              <w:spacing w:after="0" w:line="240" w:lineRule="auto"/>
            </w:pPr>
            <w:r>
              <w:rPr>
                <w:sz w:val="18"/>
              </w:rPr>
              <w:t>3611</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1860" w:type="dxa"/>
            <w:tcMar>
              <w:top w:w="0" w:type="dxa"/>
              <w:bottom w:w="0" w:type="dxa"/>
            </w:tcMar>
            <w:vAlign w:val="center"/>
          </w:tcPr>
          <w:p w:rsidR="0008552A" w:rsidRDefault="000F7018">
            <w:pPr>
              <w:keepNext/>
              <w:keepLines/>
              <w:spacing w:after="0" w:line="240" w:lineRule="auto"/>
              <w:jc w:val="right"/>
            </w:pPr>
            <w:r>
              <w:rPr>
                <w:sz w:val="18"/>
              </w:rPr>
              <w:t>11.726,44</w:t>
            </w:r>
          </w:p>
        </w:tc>
        <w:tc>
          <w:tcPr>
            <w:tcW w:w="700" w:type="dxa"/>
            <w:tcMar>
              <w:top w:w="0" w:type="dxa"/>
              <w:bottom w:w="0" w:type="dxa"/>
            </w:tcMar>
            <w:vAlign w:val="center"/>
          </w:tcPr>
          <w:p w:rsidR="0008552A" w:rsidRDefault="000F7018">
            <w:pPr>
              <w:keepNext/>
              <w:keepLines/>
              <w:spacing w:after="0" w:line="240" w:lineRule="auto"/>
              <w:jc w:val="right"/>
            </w:pPr>
            <w:r>
              <w:rPr>
                <w:sz w:val="18"/>
              </w:rPr>
              <w:t>-</w:t>
            </w:r>
          </w:p>
        </w:tc>
      </w:tr>
    </w:tbl>
    <w:p w:rsidR="0008552A" w:rsidRDefault="0008552A">
      <w:pPr>
        <w:spacing w:after="0"/>
      </w:pPr>
    </w:p>
    <w:p w:rsidR="0008552A" w:rsidRDefault="000F7018">
      <w:r>
        <w:t xml:space="preserve">Zdravstvena škola je nositelj jednog od projekata </w:t>
      </w:r>
      <w:proofErr w:type="spellStart"/>
      <w:r>
        <w:t>Erasmus</w:t>
      </w:r>
      <w:proofErr w:type="spellEnd"/>
      <w:r>
        <w:t>+ za mlade u 2025. godini te imamo partnere iz drugih zemalja, po sklopljenom ugovoru smo izvršili isplatu za troškove partnera koje smo evidentirali na kontu 3611. Prethodne godine nismo imali ovakav projekt koji se financira iz EU sredstava.</w:t>
      </w:r>
    </w:p>
    <w:p w:rsidR="0008552A" w:rsidRDefault="0008552A"/>
    <w:p w:rsidR="0008552A" w:rsidRDefault="000F7018">
      <w:pPr>
        <w:keepNext/>
        <w:spacing w:line="240" w:lineRule="auto"/>
        <w:jc w:val="center"/>
      </w:pPr>
      <w:r>
        <w:rPr>
          <w:sz w:val="28"/>
        </w:rPr>
        <w:lastRenderedPageBreak/>
        <w:t>Bilješka 18.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3721</w:t>
            </w:r>
          </w:p>
        </w:tc>
        <w:tc>
          <w:tcPr>
            <w:tcW w:w="3180" w:type="dxa"/>
            <w:tcMar>
              <w:top w:w="0" w:type="dxa"/>
              <w:bottom w:w="0" w:type="dxa"/>
            </w:tcMar>
            <w:vAlign w:val="center"/>
          </w:tcPr>
          <w:p w:rsidR="0008552A" w:rsidRDefault="000F7018">
            <w:pPr>
              <w:keepNext/>
              <w:keepLines/>
              <w:spacing w:after="0" w:line="240" w:lineRule="auto"/>
            </w:pPr>
            <w:r>
              <w:rPr>
                <w:sz w:val="18"/>
              </w:rPr>
              <w:t>Naknade građanima i kućanstvima u novcu</w:t>
            </w:r>
          </w:p>
        </w:tc>
        <w:tc>
          <w:tcPr>
            <w:tcW w:w="700" w:type="dxa"/>
            <w:tcMar>
              <w:top w:w="0" w:type="dxa"/>
              <w:bottom w:w="0" w:type="dxa"/>
            </w:tcMar>
            <w:vAlign w:val="center"/>
          </w:tcPr>
          <w:p w:rsidR="0008552A" w:rsidRDefault="000F7018">
            <w:pPr>
              <w:keepNext/>
              <w:keepLines/>
              <w:spacing w:after="0" w:line="240" w:lineRule="auto"/>
            </w:pPr>
            <w:r>
              <w:rPr>
                <w:sz w:val="18"/>
              </w:rPr>
              <w:t>3721</w:t>
            </w:r>
          </w:p>
        </w:tc>
        <w:tc>
          <w:tcPr>
            <w:tcW w:w="1860" w:type="dxa"/>
            <w:tcMar>
              <w:top w:w="0" w:type="dxa"/>
              <w:bottom w:w="0" w:type="dxa"/>
            </w:tcMar>
            <w:vAlign w:val="center"/>
          </w:tcPr>
          <w:p w:rsidR="0008552A" w:rsidRDefault="000F7018">
            <w:pPr>
              <w:keepNext/>
              <w:keepLines/>
              <w:spacing w:after="0" w:line="240" w:lineRule="auto"/>
              <w:jc w:val="right"/>
            </w:pPr>
            <w:r>
              <w:rPr>
                <w:sz w:val="18"/>
              </w:rPr>
              <w:t>656,64</w:t>
            </w:r>
          </w:p>
        </w:tc>
        <w:tc>
          <w:tcPr>
            <w:tcW w:w="1860" w:type="dxa"/>
            <w:tcMar>
              <w:top w:w="0" w:type="dxa"/>
              <w:bottom w:w="0" w:type="dxa"/>
            </w:tcMar>
            <w:vAlign w:val="center"/>
          </w:tcPr>
          <w:p w:rsidR="0008552A" w:rsidRDefault="000F7018">
            <w:pPr>
              <w:keepNext/>
              <w:keepLines/>
              <w:spacing w:after="0" w:line="240" w:lineRule="auto"/>
              <w:jc w:val="right"/>
            </w:pPr>
            <w:r>
              <w:rPr>
                <w:sz w:val="18"/>
              </w:rPr>
              <w:t>168.605,76</w:t>
            </w:r>
          </w:p>
        </w:tc>
        <w:tc>
          <w:tcPr>
            <w:tcW w:w="700" w:type="dxa"/>
            <w:tcMar>
              <w:top w:w="0" w:type="dxa"/>
              <w:bottom w:w="0" w:type="dxa"/>
            </w:tcMar>
            <w:vAlign w:val="center"/>
          </w:tcPr>
          <w:p w:rsidR="0008552A" w:rsidRDefault="000F7018">
            <w:pPr>
              <w:keepNext/>
              <w:keepLines/>
              <w:spacing w:after="0" w:line="240" w:lineRule="auto"/>
              <w:jc w:val="right"/>
            </w:pPr>
            <w:r>
              <w:rPr>
                <w:sz w:val="18"/>
              </w:rPr>
              <w:t>&gt;&gt;100</w:t>
            </w:r>
          </w:p>
        </w:tc>
      </w:tr>
    </w:tbl>
    <w:p w:rsidR="0008552A" w:rsidRDefault="0008552A">
      <w:pPr>
        <w:spacing w:after="0"/>
      </w:pPr>
    </w:p>
    <w:p w:rsidR="0008552A" w:rsidRDefault="000F7018">
      <w:r>
        <w:t>Ove naknade se odnose na isplate troškova za sufinanciranje udžbenika temeljem odobrenja Splitsko-dalmatinske županije. U proteklog godini samo smo imali troškove za prijevoz učenici sa poteškoćama koje nam odobrava ministarstvo. </w:t>
      </w:r>
    </w:p>
    <w:p w:rsidR="0008552A" w:rsidRDefault="0008552A"/>
    <w:p w:rsidR="0008552A" w:rsidRDefault="000F7018">
      <w:pPr>
        <w:keepNext/>
        <w:spacing w:line="240" w:lineRule="auto"/>
        <w:jc w:val="center"/>
      </w:pPr>
      <w:r>
        <w:rPr>
          <w:sz w:val="28"/>
        </w:rPr>
        <w:t>Bilješka 19.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42</w:t>
            </w:r>
          </w:p>
        </w:tc>
        <w:tc>
          <w:tcPr>
            <w:tcW w:w="3180" w:type="dxa"/>
            <w:tcMar>
              <w:top w:w="0" w:type="dxa"/>
              <w:bottom w:w="0" w:type="dxa"/>
            </w:tcMar>
            <w:vAlign w:val="center"/>
          </w:tcPr>
          <w:p w:rsidR="0008552A" w:rsidRDefault="000F7018">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08552A" w:rsidRDefault="000F7018">
            <w:pPr>
              <w:keepNext/>
              <w:keepLines/>
              <w:spacing w:after="0" w:line="240" w:lineRule="auto"/>
            </w:pPr>
            <w:r>
              <w:rPr>
                <w:sz w:val="18"/>
              </w:rPr>
              <w:t>42</w:t>
            </w:r>
          </w:p>
        </w:tc>
        <w:tc>
          <w:tcPr>
            <w:tcW w:w="1860" w:type="dxa"/>
            <w:tcMar>
              <w:top w:w="0" w:type="dxa"/>
              <w:bottom w:w="0" w:type="dxa"/>
            </w:tcMar>
            <w:vAlign w:val="center"/>
          </w:tcPr>
          <w:p w:rsidR="0008552A" w:rsidRDefault="000F7018">
            <w:pPr>
              <w:keepNext/>
              <w:keepLines/>
              <w:spacing w:after="0" w:line="240" w:lineRule="auto"/>
              <w:jc w:val="right"/>
            </w:pPr>
            <w:r>
              <w:rPr>
                <w:sz w:val="18"/>
              </w:rPr>
              <w:t>12.665,12</w:t>
            </w:r>
          </w:p>
        </w:tc>
        <w:tc>
          <w:tcPr>
            <w:tcW w:w="1860" w:type="dxa"/>
            <w:tcMar>
              <w:top w:w="0" w:type="dxa"/>
              <w:bottom w:w="0" w:type="dxa"/>
            </w:tcMar>
            <w:vAlign w:val="center"/>
          </w:tcPr>
          <w:p w:rsidR="0008552A" w:rsidRDefault="000F7018">
            <w:pPr>
              <w:keepNext/>
              <w:keepLines/>
              <w:spacing w:after="0" w:line="240" w:lineRule="auto"/>
              <w:jc w:val="right"/>
            </w:pPr>
            <w:r>
              <w:rPr>
                <w:sz w:val="18"/>
              </w:rPr>
              <w:t>323.417,87</w:t>
            </w:r>
          </w:p>
        </w:tc>
        <w:tc>
          <w:tcPr>
            <w:tcW w:w="700" w:type="dxa"/>
            <w:tcMar>
              <w:top w:w="0" w:type="dxa"/>
              <w:bottom w:w="0" w:type="dxa"/>
            </w:tcMar>
            <w:vAlign w:val="center"/>
          </w:tcPr>
          <w:p w:rsidR="0008552A" w:rsidRDefault="000F7018">
            <w:pPr>
              <w:keepNext/>
              <w:keepLines/>
              <w:spacing w:after="0" w:line="240" w:lineRule="auto"/>
              <w:jc w:val="right"/>
            </w:pPr>
            <w:r>
              <w:rPr>
                <w:sz w:val="18"/>
              </w:rPr>
              <w:t>2553,6</w:t>
            </w:r>
          </w:p>
        </w:tc>
      </w:tr>
    </w:tbl>
    <w:p w:rsidR="0008552A" w:rsidRDefault="0008552A">
      <w:pPr>
        <w:spacing w:after="0"/>
      </w:pPr>
    </w:p>
    <w:p w:rsidR="0008552A" w:rsidRDefault="000F7018">
      <w:r>
        <w:t>Zbog opremanja nadograđenog dijela zdravstvene škole (laboratoriji) ostvarili smo veliki trošak za opremu, sredstva su osigurana od osnivača i ministarstva obrazovanja.</w:t>
      </w:r>
    </w:p>
    <w:p w:rsidR="0008552A" w:rsidRDefault="0008552A"/>
    <w:p w:rsidR="0008552A" w:rsidRDefault="000F7018">
      <w:pPr>
        <w:keepNext/>
        <w:spacing w:line="240" w:lineRule="auto"/>
        <w:jc w:val="center"/>
      </w:pPr>
      <w:r>
        <w:rPr>
          <w:b/>
          <w:sz w:val="28"/>
        </w:rPr>
        <w:t>Bilanca</w:t>
      </w:r>
    </w:p>
    <w:p w:rsidR="0008552A" w:rsidRDefault="000F7018">
      <w:pPr>
        <w:keepNext/>
        <w:spacing w:line="240" w:lineRule="auto"/>
        <w:jc w:val="center"/>
      </w:pPr>
      <w:r>
        <w:rPr>
          <w:sz w:val="28"/>
        </w:rPr>
        <w:t>Bilješka 20.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sz w:val="18"/>
              </w:rPr>
              <w:t>IMOVINA (šifre B002+1)</w:t>
            </w:r>
          </w:p>
        </w:tc>
        <w:tc>
          <w:tcPr>
            <w:tcW w:w="700" w:type="dxa"/>
            <w:tcMar>
              <w:top w:w="0" w:type="dxa"/>
              <w:bottom w:w="0" w:type="dxa"/>
            </w:tcMar>
            <w:vAlign w:val="center"/>
          </w:tcPr>
          <w:p w:rsidR="0008552A" w:rsidRDefault="000F7018">
            <w:pPr>
              <w:keepNext/>
              <w:keepLines/>
              <w:spacing w:after="0" w:line="240" w:lineRule="auto"/>
            </w:pPr>
            <w:r>
              <w:rPr>
                <w:sz w:val="18"/>
              </w:rPr>
              <w:t>B001</w:t>
            </w:r>
          </w:p>
        </w:tc>
        <w:tc>
          <w:tcPr>
            <w:tcW w:w="1860" w:type="dxa"/>
            <w:tcMar>
              <w:top w:w="0" w:type="dxa"/>
              <w:bottom w:w="0" w:type="dxa"/>
            </w:tcMar>
            <w:vAlign w:val="center"/>
          </w:tcPr>
          <w:p w:rsidR="0008552A" w:rsidRDefault="000F7018">
            <w:pPr>
              <w:keepNext/>
              <w:keepLines/>
              <w:spacing w:after="0" w:line="240" w:lineRule="auto"/>
              <w:jc w:val="right"/>
            </w:pPr>
            <w:r>
              <w:rPr>
                <w:sz w:val="18"/>
              </w:rPr>
              <w:t>8.733.477,62</w:t>
            </w:r>
          </w:p>
        </w:tc>
        <w:tc>
          <w:tcPr>
            <w:tcW w:w="1860" w:type="dxa"/>
            <w:tcMar>
              <w:top w:w="0" w:type="dxa"/>
              <w:bottom w:w="0" w:type="dxa"/>
            </w:tcMar>
            <w:vAlign w:val="center"/>
          </w:tcPr>
          <w:p w:rsidR="0008552A" w:rsidRDefault="000F7018">
            <w:pPr>
              <w:keepNext/>
              <w:keepLines/>
              <w:spacing w:after="0" w:line="240" w:lineRule="auto"/>
              <w:jc w:val="right"/>
            </w:pPr>
            <w:r>
              <w:rPr>
                <w:sz w:val="18"/>
              </w:rPr>
              <w:t>9.178.905,82</w:t>
            </w:r>
          </w:p>
        </w:tc>
        <w:tc>
          <w:tcPr>
            <w:tcW w:w="700" w:type="dxa"/>
            <w:tcMar>
              <w:top w:w="0" w:type="dxa"/>
              <w:bottom w:w="0" w:type="dxa"/>
            </w:tcMar>
            <w:vAlign w:val="center"/>
          </w:tcPr>
          <w:p w:rsidR="0008552A" w:rsidRDefault="000F7018">
            <w:pPr>
              <w:keepNext/>
              <w:keepLines/>
              <w:spacing w:after="0" w:line="240" w:lineRule="auto"/>
              <w:jc w:val="right"/>
            </w:pPr>
            <w:r>
              <w:rPr>
                <w:sz w:val="18"/>
              </w:rPr>
              <w:t>105,1</w:t>
            </w:r>
          </w:p>
        </w:tc>
      </w:tr>
    </w:tbl>
    <w:p w:rsidR="0008552A" w:rsidRDefault="0008552A">
      <w:pPr>
        <w:spacing w:after="0"/>
      </w:pPr>
    </w:p>
    <w:p w:rsidR="0008552A" w:rsidRDefault="000F7018">
      <w:r>
        <w:t>U protekle dvije godine ulagali smo u nefinancijsku imovinu zbog nadogradnje škole (radovi i oprema), tako da je na kontu 05 dugotrajna nefinancijska imovina u pripremi 2.069.210,36 € koje će završetkom investicije povećati vrijednost zgrade i opreme.</w:t>
      </w:r>
    </w:p>
    <w:p w:rsidR="0008552A" w:rsidRDefault="0008552A"/>
    <w:p w:rsidR="0008552A" w:rsidRDefault="000F7018">
      <w:pPr>
        <w:keepNext/>
        <w:spacing w:line="240" w:lineRule="auto"/>
        <w:jc w:val="center"/>
      </w:pPr>
      <w:r>
        <w:rPr>
          <w:sz w:val="28"/>
        </w:rPr>
        <w:t>Bilješka 21.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1</w:t>
            </w:r>
          </w:p>
        </w:tc>
        <w:tc>
          <w:tcPr>
            <w:tcW w:w="3180" w:type="dxa"/>
            <w:tcMar>
              <w:top w:w="0" w:type="dxa"/>
              <w:bottom w:w="0" w:type="dxa"/>
            </w:tcMar>
            <w:vAlign w:val="center"/>
          </w:tcPr>
          <w:p w:rsidR="0008552A" w:rsidRDefault="000F7018">
            <w:pPr>
              <w:keepNext/>
              <w:keepLines/>
              <w:spacing w:after="0" w:line="240" w:lineRule="auto"/>
            </w:pPr>
            <w:r>
              <w:rPr>
                <w:sz w:val="18"/>
              </w:rPr>
              <w:t>Financijska imovina (šifre 11+12+13+14+15+16+17+19)</w:t>
            </w:r>
          </w:p>
        </w:tc>
        <w:tc>
          <w:tcPr>
            <w:tcW w:w="700" w:type="dxa"/>
            <w:tcMar>
              <w:top w:w="0" w:type="dxa"/>
              <w:bottom w:w="0" w:type="dxa"/>
            </w:tcMar>
            <w:vAlign w:val="center"/>
          </w:tcPr>
          <w:p w:rsidR="0008552A" w:rsidRDefault="000F7018">
            <w:pPr>
              <w:keepNext/>
              <w:keepLines/>
              <w:spacing w:after="0" w:line="240" w:lineRule="auto"/>
            </w:pPr>
            <w:r>
              <w:rPr>
                <w:sz w:val="18"/>
              </w:rPr>
              <w:t>1</w:t>
            </w:r>
          </w:p>
        </w:tc>
        <w:tc>
          <w:tcPr>
            <w:tcW w:w="1860" w:type="dxa"/>
            <w:tcMar>
              <w:top w:w="0" w:type="dxa"/>
              <w:bottom w:w="0" w:type="dxa"/>
            </w:tcMar>
            <w:vAlign w:val="center"/>
          </w:tcPr>
          <w:p w:rsidR="0008552A" w:rsidRDefault="000F7018">
            <w:pPr>
              <w:keepNext/>
              <w:keepLines/>
              <w:spacing w:after="0" w:line="240" w:lineRule="auto"/>
              <w:jc w:val="right"/>
            </w:pPr>
            <w:r>
              <w:rPr>
                <w:sz w:val="18"/>
              </w:rPr>
              <w:t>1.027.969,67</w:t>
            </w:r>
          </w:p>
        </w:tc>
        <w:tc>
          <w:tcPr>
            <w:tcW w:w="1860" w:type="dxa"/>
            <w:tcMar>
              <w:top w:w="0" w:type="dxa"/>
              <w:bottom w:w="0" w:type="dxa"/>
            </w:tcMar>
            <w:vAlign w:val="center"/>
          </w:tcPr>
          <w:p w:rsidR="0008552A" w:rsidRDefault="000F7018">
            <w:pPr>
              <w:keepNext/>
              <w:keepLines/>
              <w:spacing w:after="0" w:line="240" w:lineRule="auto"/>
              <w:jc w:val="right"/>
            </w:pPr>
            <w:r>
              <w:rPr>
                <w:sz w:val="18"/>
              </w:rPr>
              <w:t>466.494,38</w:t>
            </w:r>
          </w:p>
        </w:tc>
        <w:tc>
          <w:tcPr>
            <w:tcW w:w="700" w:type="dxa"/>
            <w:tcMar>
              <w:top w:w="0" w:type="dxa"/>
              <w:bottom w:w="0" w:type="dxa"/>
            </w:tcMar>
            <w:vAlign w:val="center"/>
          </w:tcPr>
          <w:p w:rsidR="0008552A" w:rsidRDefault="000F7018">
            <w:pPr>
              <w:keepNext/>
              <w:keepLines/>
              <w:spacing w:after="0" w:line="240" w:lineRule="auto"/>
              <w:jc w:val="right"/>
            </w:pPr>
            <w:r>
              <w:rPr>
                <w:sz w:val="18"/>
              </w:rPr>
              <w:t>45,4</w:t>
            </w:r>
          </w:p>
        </w:tc>
      </w:tr>
    </w:tbl>
    <w:p w:rsidR="0008552A" w:rsidRDefault="0008552A">
      <w:pPr>
        <w:spacing w:after="0"/>
      </w:pPr>
    </w:p>
    <w:p w:rsidR="0008552A" w:rsidRDefault="000F7018">
      <w:r>
        <w:lastRenderedPageBreak/>
        <w:t>Znatno smanjenje sredstava na računu kod tuzemnih poslovnih banaka zbog podmirenja troškova nadogradnje škole i završetka investicije.</w:t>
      </w:r>
    </w:p>
    <w:p w:rsidR="0008552A" w:rsidRDefault="0008552A"/>
    <w:p w:rsidR="0008552A" w:rsidRDefault="000F7018">
      <w:pPr>
        <w:keepNext/>
        <w:spacing w:line="240" w:lineRule="auto"/>
        <w:jc w:val="center"/>
      </w:pPr>
      <w:r>
        <w:rPr>
          <w:sz w:val="28"/>
        </w:rPr>
        <w:t>Bilješka 22.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12</w:t>
            </w:r>
          </w:p>
        </w:tc>
        <w:tc>
          <w:tcPr>
            <w:tcW w:w="3180" w:type="dxa"/>
            <w:tcMar>
              <w:top w:w="0" w:type="dxa"/>
              <w:bottom w:w="0" w:type="dxa"/>
            </w:tcMar>
            <w:vAlign w:val="center"/>
          </w:tcPr>
          <w:p w:rsidR="0008552A" w:rsidRDefault="000F7018">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08552A" w:rsidRDefault="000F7018">
            <w:pPr>
              <w:keepNext/>
              <w:keepLines/>
              <w:spacing w:after="0" w:line="240" w:lineRule="auto"/>
            </w:pPr>
            <w:r>
              <w:rPr>
                <w:sz w:val="18"/>
              </w:rPr>
              <w:t>12</w:t>
            </w:r>
          </w:p>
        </w:tc>
        <w:tc>
          <w:tcPr>
            <w:tcW w:w="1860" w:type="dxa"/>
            <w:tcMar>
              <w:top w:w="0" w:type="dxa"/>
              <w:bottom w:w="0" w:type="dxa"/>
            </w:tcMar>
            <w:vAlign w:val="center"/>
          </w:tcPr>
          <w:p w:rsidR="0008552A" w:rsidRDefault="000F7018">
            <w:pPr>
              <w:keepNext/>
              <w:keepLines/>
              <w:spacing w:after="0" w:line="240" w:lineRule="auto"/>
              <w:jc w:val="right"/>
            </w:pPr>
            <w:r>
              <w:rPr>
                <w:sz w:val="18"/>
              </w:rPr>
              <w:t>15.598,74</w:t>
            </w:r>
          </w:p>
        </w:tc>
        <w:tc>
          <w:tcPr>
            <w:tcW w:w="1860" w:type="dxa"/>
            <w:tcMar>
              <w:top w:w="0" w:type="dxa"/>
              <w:bottom w:w="0" w:type="dxa"/>
            </w:tcMar>
            <w:vAlign w:val="center"/>
          </w:tcPr>
          <w:p w:rsidR="0008552A" w:rsidRDefault="000F7018">
            <w:pPr>
              <w:keepNext/>
              <w:keepLines/>
              <w:spacing w:after="0" w:line="240" w:lineRule="auto"/>
              <w:jc w:val="right"/>
            </w:pPr>
            <w:r>
              <w:rPr>
                <w:sz w:val="18"/>
              </w:rPr>
              <w:t>11.695,47</w:t>
            </w:r>
          </w:p>
        </w:tc>
        <w:tc>
          <w:tcPr>
            <w:tcW w:w="700" w:type="dxa"/>
            <w:tcMar>
              <w:top w:w="0" w:type="dxa"/>
              <w:bottom w:w="0" w:type="dxa"/>
            </w:tcMar>
            <w:vAlign w:val="center"/>
          </w:tcPr>
          <w:p w:rsidR="0008552A" w:rsidRDefault="000F7018">
            <w:pPr>
              <w:keepNext/>
              <w:keepLines/>
              <w:spacing w:after="0" w:line="240" w:lineRule="auto"/>
              <w:jc w:val="right"/>
            </w:pPr>
            <w:r>
              <w:rPr>
                <w:sz w:val="18"/>
              </w:rPr>
              <w:t>75,0</w:t>
            </w:r>
          </w:p>
        </w:tc>
      </w:tr>
    </w:tbl>
    <w:p w:rsidR="0008552A" w:rsidRDefault="0008552A">
      <w:pPr>
        <w:spacing w:after="0"/>
      </w:pPr>
    </w:p>
    <w:p w:rsidR="0008552A" w:rsidRDefault="000F7018">
      <w:r>
        <w:t xml:space="preserve">Potraživanja se odnose na bolovanja zaposlenih na teret HZZO-a za 11. i 12. mjesec, te uplate predujma za </w:t>
      </w:r>
      <w:proofErr w:type="spellStart"/>
      <w:r>
        <w:t>avio</w:t>
      </w:r>
      <w:proofErr w:type="spellEnd"/>
      <w:r>
        <w:t xml:space="preserve"> karte za projekt </w:t>
      </w:r>
      <w:proofErr w:type="spellStart"/>
      <w:r>
        <w:t>Erasmus</w:t>
      </w:r>
      <w:proofErr w:type="spellEnd"/>
      <w:r>
        <w:t xml:space="preserve">+za mobilnost koja se </w:t>
      </w:r>
      <w:proofErr w:type="spellStart"/>
      <w:r>
        <w:t>se</w:t>
      </w:r>
      <w:proofErr w:type="spellEnd"/>
      <w:r>
        <w:t xml:space="preserve"> realizirati u početkom 2026. godine.</w:t>
      </w:r>
    </w:p>
    <w:p w:rsidR="0008552A" w:rsidRDefault="0008552A"/>
    <w:p w:rsidR="0008552A" w:rsidRDefault="000F7018">
      <w:pPr>
        <w:keepNext/>
        <w:spacing w:line="240" w:lineRule="auto"/>
        <w:jc w:val="center"/>
      </w:pPr>
      <w:r>
        <w:rPr>
          <w:b/>
          <w:sz w:val="28"/>
        </w:rPr>
        <w:t>Izvještaj o rashodima prema funkcijskoj klasifikaciji</w:t>
      </w:r>
    </w:p>
    <w:p w:rsidR="0008552A" w:rsidRDefault="000F7018">
      <w:pPr>
        <w:keepNext/>
        <w:spacing w:line="240" w:lineRule="auto"/>
        <w:jc w:val="center"/>
      </w:pPr>
      <w:r>
        <w:rPr>
          <w:sz w:val="28"/>
        </w:rPr>
        <w:t>Bilješka 23.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F7018">
            <w:pPr>
              <w:keepNext/>
              <w:keepLines/>
              <w:spacing w:after="0" w:line="240" w:lineRule="auto"/>
            </w:pPr>
            <w:r>
              <w:rPr>
                <w:sz w:val="18"/>
              </w:rPr>
              <w:t>0922</w:t>
            </w:r>
          </w:p>
        </w:tc>
        <w:tc>
          <w:tcPr>
            <w:tcW w:w="3180" w:type="dxa"/>
            <w:tcMar>
              <w:top w:w="0" w:type="dxa"/>
              <w:bottom w:w="0" w:type="dxa"/>
            </w:tcMar>
            <w:vAlign w:val="center"/>
          </w:tcPr>
          <w:p w:rsidR="0008552A" w:rsidRDefault="000F7018">
            <w:pPr>
              <w:keepNext/>
              <w:keepLines/>
              <w:spacing w:after="0" w:line="240" w:lineRule="auto"/>
            </w:pPr>
            <w:r>
              <w:rPr>
                <w:sz w:val="18"/>
              </w:rPr>
              <w:t>Više srednjoškolsko obrazovanje</w:t>
            </w:r>
          </w:p>
        </w:tc>
        <w:tc>
          <w:tcPr>
            <w:tcW w:w="700" w:type="dxa"/>
            <w:tcMar>
              <w:top w:w="0" w:type="dxa"/>
              <w:bottom w:w="0" w:type="dxa"/>
            </w:tcMar>
            <w:vAlign w:val="center"/>
          </w:tcPr>
          <w:p w:rsidR="0008552A" w:rsidRDefault="000F7018">
            <w:pPr>
              <w:keepNext/>
              <w:keepLines/>
              <w:spacing w:after="0" w:line="240" w:lineRule="auto"/>
            </w:pPr>
            <w:r>
              <w:rPr>
                <w:sz w:val="18"/>
              </w:rPr>
              <w:t>0922</w:t>
            </w:r>
          </w:p>
        </w:tc>
        <w:tc>
          <w:tcPr>
            <w:tcW w:w="1860" w:type="dxa"/>
            <w:tcMar>
              <w:top w:w="0" w:type="dxa"/>
              <w:bottom w:w="0" w:type="dxa"/>
            </w:tcMar>
            <w:vAlign w:val="center"/>
          </w:tcPr>
          <w:p w:rsidR="0008552A" w:rsidRDefault="000F7018">
            <w:pPr>
              <w:keepNext/>
              <w:keepLines/>
              <w:spacing w:after="0" w:line="240" w:lineRule="auto"/>
              <w:jc w:val="right"/>
            </w:pPr>
            <w:r>
              <w:rPr>
                <w:sz w:val="18"/>
              </w:rPr>
              <w:t>4.168.006,69</w:t>
            </w:r>
          </w:p>
        </w:tc>
        <w:tc>
          <w:tcPr>
            <w:tcW w:w="1860" w:type="dxa"/>
            <w:tcMar>
              <w:top w:w="0" w:type="dxa"/>
              <w:bottom w:w="0" w:type="dxa"/>
            </w:tcMar>
            <w:vAlign w:val="center"/>
          </w:tcPr>
          <w:p w:rsidR="0008552A" w:rsidRDefault="000F7018">
            <w:pPr>
              <w:keepNext/>
              <w:keepLines/>
              <w:spacing w:after="0" w:line="240" w:lineRule="auto"/>
              <w:jc w:val="right"/>
            </w:pPr>
            <w:r>
              <w:rPr>
                <w:sz w:val="18"/>
              </w:rPr>
              <w:t>5.185.312,46</w:t>
            </w:r>
          </w:p>
        </w:tc>
        <w:tc>
          <w:tcPr>
            <w:tcW w:w="700" w:type="dxa"/>
            <w:tcMar>
              <w:top w:w="0" w:type="dxa"/>
              <w:bottom w:w="0" w:type="dxa"/>
            </w:tcMar>
            <w:vAlign w:val="center"/>
          </w:tcPr>
          <w:p w:rsidR="0008552A" w:rsidRDefault="000F7018">
            <w:pPr>
              <w:keepNext/>
              <w:keepLines/>
              <w:spacing w:after="0" w:line="240" w:lineRule="auto"/>
              <w:jc w:val="right"/>
            </w:pPr>
            <w:r>
              <w:rPr>
                <w:sz w:val="18"/>
              </w:rPr>
              <w:t>124,4</w:t>
            </w:r>
          </w:p>
        </w:tc>
      </w:tr>
    </w:tbl>
    <w:p w:rsidR="0008552A" w:rsidRDefault="0008552A">
      <w:pPr>
        <w:spacing w:after="0"/>
      </w:pPr>
    </w:p>
    <w:p w:rsidR="0008552A" w:rsidRDefault="000F7018">
      <w:r>
        <w:t xml:space="preserve">Ukupni rashodi porasli su za 24.4% a razvrstani su na rashode poslovanja u razredu 3 u ukupnom iznosu 4.046.478,55 € i razredu 4 za nabavu nefinancijske imovine u iznosu 1.138.833,91€ (oprema i radovi na nadogradnji škole). U rashode poslovanja prema namjeri obuhvaćeni su rashodi za zaposlene, </w:t>
      </w:r>
      <w:proofErr w:type="spellStart"/>
      <w:r>
        <w:t>materijani</w:t>
      </w:r>
      <w:proofErr w:type="spellEnd"/>
      <w:r>
        <w:t xml:space="preserve"> rashodi za materijal i energiju, rashodi za usluge, naknade troškova zaposlenima, ostali nespomenuti rashodi i financijski rashodi.</w:t>
      </w:r>
    </w:p>
    <w:p w:rsidR="0008552A" w:rsidRDefault="0008552A"/>
    <w:p w:rsidR="0008552A" w:rsidRDefault="000F7018">
      <w:pPr>
        <w:keepNext/>
        <w:spacing w:line="240" w:lineRule="auto"/>
        <w:jc w:val="center"/>
      </w:pPr>
      <w:r>
        <w:rPr>
          <w:b/>
          <w:sz w:val="28"/>
        </w:rPr>
        <w:t>Izvještaj o obvezama</w:t>
      </w:r>
    </w:p>
    <w:p w:rsidR="0008552A" w:rsidRDefault="000F7018">
      <w:pPr>
        <w:keepNext/>
        <w:spacing w:line="240" w:lineRule="auto"/>
        <w:jc w:val="center"/>
      </w:pPr>
      <w:r>
        <w:rPr>
          <w:sz w:val="28"/>
        </w:rPr>
        <w:t>Bilješka 24.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8552A" w:rsidRDefault="000F7018">
            <w:pPr>
              <w:keepNext/>
              <w:keepLines/>
              <w:spacing w:after="0" w:line="240" w:lineRule="auto"/>
            </w:pPr>
            <w:r>
              <w:rPr>
                <w:sz w:val="18"/>
              </w:rPr>
              <w:t>V007</w:t>
            </w:r>
          </w:p>
        </w:tc>
        <w:tc>
          <w:tcPr>
            <w:tcW w:w="1860" w:type="dxa"/>
            <w:tcMar>
              <w:top w:w="0" w:type="dxa"/>
              <w:bottom w:w="0" w:type="dxa"/>
            </w:tcMar>
            <w:vAlign w:val="center"/>
          </w:tcPr>
          <w:p w:rsidR="0008552A" w:rsidRDefault="000F7018">
            <w:pPr>
              <w:keepNext/>
              <w:keepLines/>
              <w:spacing w:after="0" w:line="240" w:lineRule="auto"/>
              <w:jc w:val="right"/>
            </w:pPr>
            <w:r>
              <w:rPr>
                <w:sz w:val="18"/>
              </w:rPr>
              <w:t>0,00</w:t>
            </w:r>
          </w:p>
        </w:tc>
        <w:tc>
          <w:tcPr>
            <w:tcW w:w="700" w:type="dxa"/>
            <w:tcMar>
              <w:top w:w="0" w:type="dxa"/>
              <w:bottom w:w="0" w:type="dxa"/>
            </w:tcMar>
            <w:vAlign w:val="center"/>
          </w:tcPr>
          <w:p w:rsidR="0008552A" w:rsidRDefault="000F7018">
            <w:pPr>
              <w:keepNext/>
              <w:keepLines/>
              <w:spacing w:after="0" w:line="240" w:lineRule="auto"/>
              <w:jc w:val="right"/>
            </w:pPr>
            <w:r>
              <w:rPr>
                <w:sz w:val="18"/>
              </w:rPr>
              <w:t>-</w:t>
            </w:r>
          </w:p>
        </w:tc>
      </w:tr>
    </w:tbl>
    <w:p w:rsidR="0008552A" w:rsidRDefault="0008552A">
      <w:pPr>
        <w:spacing w:after="0"/>
      </w:pPr>
    </w:p>
    <w:p w:rsidR="0008552A" w:rsidRDefault="000F7018">
      <w:r>
        <w:t>Stanje dospjelih obveza na kraju izvještajnog razdoblja je 0.</w:t>
      </w:r>
    </w:p>
    <w:p w:rsidR="0008552A" w:rsidRDefault="0008552A"/>
    <w:p w:rsidR="0008552A" w:rsidRDefault="000F7018">
      <w:pPr>
        <w:keepNext/>
        <w:spacing w:line="240" w:lineRule="auto"/>
        <w:jc w:val="center"/>
      </w:pPr>
      <w:r>
        <w:rPr>
          <w:sz w:val="28"/>
        </w:rPr>
        <w:lastRenderedPageBreak/>
        <w:t>Bilješka 25.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8552A">
        <w:trPr>
          <w:cantSplit/>
        </w:trPr>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8552A" w:rsidRDefault="000F7018">
            <w:pPr>
              <w:keepNext/>
              <w:keepLines/>
              <w:spacing w:after="0" w:line="240" w:lineRule="auto"/>
              <w:jc w:val="center"/>
            </w:pPr>
            <w:r>
              <w:rPr>
                <w:b/>
                <w:sz w:val="18"/>
              </w:rPr>
              <w:t>Indeks (%)</w:t>
            </w:r>
          </w:p>
        </w:tc>
      </w:tr>
      <w:tr w:rsidR="0008552A">
        <w:trPr>
          <w:cantSplit/>
          <w:trHeight w:val="560"/>
        </w:trPr>
        <w:tc>
          <w:tcPr>
            <w:tcW w:w="700" w:type="dxa"/>
            <w:tcMar>
              <w:top w:w="0" w:type="dxa"/>
              <w:bottom w:w="0" w:type="dxa"/>
            </w:tcMar>
            <w:vAlign w:val="center"/>
          </w:tcPr>
          <w:p w:rsidR="0008552A" w:rsidRDefault="0008552A">
            <w:pPr>
              <w:keepNext/>
              <w:keepLines/>
              <w:spacing w:after="0" w:line="240" w:lineRule="auto"/>
            </w:pPr>
          </w:p>
        </w:tc>
        <w:tc>
          <w:tcPr>
            <w:tcW w:w="3180" w:type="dxa"/>
            <w:tcMar>
              <w:top w:w="0" w:type="dxa"/>
              <w:bottom w:w="0" w:type="dxa"/>
            </w:tcMar>
            <w:vAlign w:val="center"/>
          </w:tcPr>
          <w:p w:rsidR="0008552A" w:rsidRDefault="000F7018">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08552A" w:rsidRDefault="000F7018">
            <w:pPr>
              <w:keepNext/>
              <w:keepLines/>
              <w:spacing w:after="0" w:line="240" w:lineRule="auto"/>
            </w:pPr>
            <w:r>
              <w:rPr>
                <w:sz w:val="18"/>
              </w:rPr>
              <w:t>V009</w:t>
            </w:r>
          </w:p>
        </w:tc>
        <w:tc>
          <w:tcPr>
            <w:tcW w:w="1860" w:type="dxa"/>
            <w:tcMar>
              <w:top w:w="0" w:type="dxa"/>
              <w:bottom w:w="0" w:type="dxa"/>
            </w:tcMar>
            <w:vAlign w:val="center"/>
          </w:tcPr>
          <w:p w:rsidR="0008552A" w:rsidRDefault="000F7018">
            <w:pPr>
              <w:keepNext/>
              <w:keepLines/>
              <w:spacing w:after="0" w:line="240" w:lineRule="auto"/>
              <w:jc w:val="right"/>
            </w:pPr>
            <w:r>
              <w:rPr>
                <w:sz w:val="18"/>
              </w:rPr>
              <w:t>422.670,64</w:t>
            </w:r>
          </w:p>
        </w:tc>
        <w:tc>
          <w:tcPr>
            <w:tcW w:w="700" w:type="dxa"/>
            <w:tcMar>
              <w:top w:w="0" w:type="dxa"/>
              <w:bottom w:w="0" w:type="dxa"/>
            </w:tcMar>
            <w:vAlign w:val="center"/>
          </w:tcPr>
          <w:p w:rsidR="0008552A" w:rsidRDefault="000F7018">
            <w:pPr>
              <w:keepNext/>
              <w:keepLines/>
              <w:spacing w:after="0" w:line="240" w:lineRule="auto"/>
              <w:jc w:val="right"/>
            </w:pPr>
            <w:r>
              <w:rPr>
                <w:sz w:val="18"/>
              </w:rPr>
              <w:t>-</w:t>
            </w:r>
          </w:p>
        </w:tc>
      </w:tr>
    </w:tbl>
    <w:p w:rsidR="0008552A" w:rsidRDefault="0008552A">
      <w:pPr>
        <w:spacing w:after="0"/>
      </w:pPr>
    </w:p>
    <w:p w:rsidR="0008552A" w:rsidRDefault="000F7018">
      <w:r>
        <w:t xml:space="preserve">Stanje nedospjelih obveza obuhvaćaju plaću za 12 mjesec 2025. godine, obveze za bolovanja preko 42 dana, obveza za nezapošljavanje invalida, obveze po računima </w:t>
      </w:r>
      <w:proofErr w:type="spellStart"/>
      <w:r>
        <w:t>dobavaljača</w:t>
      </w:r>
      <w:proofErr w:type="spellEnd"/>
      <w:r>
        <w:t xml:space="preserve">, obveze za </w:t>
      </w:r>
      <w:proofErr w:type="spellStart"/>
      <w:r>
        <w:t>jamčevne</w:t>
      </w:r>
      <w:proofErr w:type="spellEnd"/>
      <w:r>
        <w:t xml:space="preserve"> </w:t>
      </w:r>
      <w:proofErr w:type="spellStart"/>
      <w:r>
        <w:t>pologe</w:t>
      </w:r>
      <w:proofErr w:type="spellEnd"/>
      <w:r>
        <w:t xml:space="preserve"> za nadogradnju škole te obveze za EU predujmove u iznosu 103.776,80 €.</w:t>
      </w:r>
    </w:p>
    <w:p w:rsidR="0008552A" w:rsidRDefault="0008552A"/>
    <w:p w:rsidR="0008552A" w:rsidRDefault="000F7018">
      <w:pPr>
        <w:keepNext/>
        <w:spacing w:line="240" w:lineRule="auto"/>
        <w:jc w:val="center"/>
      </w:pPr>
      <w:r>
        <w:rPr>
          <w:sz w:val="28"/>
        </w:rPr>
        <w:t>Bilješka 26.</w:t>
      </w:r>
    </w:p>
    <w:p w:rsidR="0008552A" w:rsidRDefault="000F7018">
      <w:pPr>
        <w:spacing w:line="240" w:lineRule="auto"/>
        <w:jc w:val="both"/>
      </w:pPr>
      <w:r>
        <w:rPr>
          <w:b/>
        </w:rPr>
        <w:t>EU izvještaj</w:t>
      </w:r>
    </w:p>
    <w:p w:rsidR="0008552A" w:rsidRDefault="000F7018">
      <w:r>
        <w:t>U izvještajnom raz</w:t>
      </w:r>
      <w:r w:rsidR="002245A9">
        <w:t>d</w:t>
      </w:r>
      <w:r>
        <w:t xml:space="preserve">oblju ostvareno je 5.788,87 € prihoda i rashoda od EU </w:t>
      </w:r>
      <w:r w:rsidR="002245A9">
        <w:t>sredstava -Europski socijalni f</w:t>
      </w:r>
      <w:r>
        <w:t>ond za plaće Pomoćnika u nastavi, te 1.021,57 € prihoda i rashoda za plaće Pomoćnika u nastavi iz sredstva Nacionalno sufinanciranje.</w:t>
      </w:r>
    </w:p>
    <w:p w:rsidR="0008552A" w:rsidRDefault="000F7018">
      <w:r>
        <w:t xml:space="preserve">Također smo sklopili dva nova projekta </w:t>
      </w:r>
      <w:proofErr w:type="spellStart"/>
      <w:r>
        <w:t>Erasmus</w:t>
      </w:r>
      <w:proofErr w:type="spellEnd"/>
      <w:r>
        <w:t>+ u 2025. godini koji će se završiti u 2026. te ćemo tada evidentirati prihode u iznosu 128.353,00 € ukoliko ostvarimo 100 % završno izvješće agencije za mobilnost.</w:t>
      </w:r>
    </w:p>
    <w:p w:rsidR="0008552A" w:rsidRDefault="000F7018">
      <w:r>
        <w:t xml:space="preserve">U izvještaju također su evidentirani prihodi i rashodi  završenog projekta </w:t>
      </w:r>
      <w:proofErr w:type="spellStart"/>
      <w:r>
        <w:t>Erasmus</w:t>
      </w:r>
      <w:proofErr w:type="spellEnd"/>
      <w:r>
        <w:t xml:space="preserve">+ koji je započeo u 2024. godini i rashodi projekta </w:t>
      </w:r>
      <w:proofErr w:type="spellStart"/>
      <w:r>
        <w:t>Invite</w:t>
      </w:r>
      <w:proofErr w:type="spellEnd"/>
      <w:r>
        <w:t xml:space="preserve"> na kojem smo partner škola koji traje 3 godine.</w:t>
      </w:r>
      <w:bookmarkStart w:id="0" w:name="_GoBack"/>
      <w:bookmarkEnd w:id="0"/>
    </w:p>
    <w:p w:rsidR="0008552A" w:rsidRDefault="0008552A"/>
    <w:sectPr w:rsidR="00085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2A"/>
    <w:rsid w:val="0008552A"/>
    <w:rsid w:val="000F7018"/>
    <w:rsid w:val="002245A9"/>
    <w:rsid w:val="004F6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2104</Words>
  <Characters>11996</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Nada02</dc:creator>
  <cp:lastModifiedBy>Nada02</cp:lastModifiedBy>
  <cp:revision>4</cp:revision>
  <dcterms:created xsi:type="dcterms:W3CDTF">2026-02-02T13:51:00Z</dcterms:created>
  <dcterms:modified xsi:type="dcterms:W3CDTF">2026-02-09T13:37:00Z</dcterms:modified>
</cp:coreProperties>
</file>